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5E1E40">
      <w:pPr>
        <w:numPr>
          <w:ilvl w:val="0"/>
          <w:numId w:val="0"/>
        </w:numPr>
        <w:jc w:val="center"/>
        <w:rPr>
          <w:rFonts w:hint="eastAsia" w:ascii="黑体" w:hAnsi="黑体" w:eastAsia="黑体" w:cs="黑体"/>
          <w:b/>
          <w:bCs/>
          <w:sz w:val="36"/>
          <w:szCs w:val="36"/>
        </w:rPr>
      </w:pPr>
      <w:r>
        <w:rPr>
          <w:rFonts w:hint="eastAsia" w:ascii="黑体" w:hAnsi="黑体" w:eastAsia="黑体" w:cs="黑体"/>
          <w:b/>
          <w:bCs/>
          <w:sz w:val="36"/>
          <w:szCs w:val="36"/>
        </w:rPr>
        <w:t>海南</w:t>
      </w:r>
      <w:r>
        <w:rPr>
          <w:rFonts w:hint="eastAsia" w:ascii="黑体" w:hAnsi="黑体" w:eastAsia="黑体" w:cs="黑体"/>
          <w:b/>
          <w:bCs/>
          <w:sz w:val="36"/>
          <w:szCs w:val="36"/>
          <w:lang w:val="en-US" w:eastAsia="zh-CN"/>
        </w:rPr>
        <w:t>医科大学</w:t>
      </w:r>
      <w:r>
        <w:rPr>
          <w:rFonts w:hint="eastAsia" w:ascii="黑体" w:hAnsi="黑体" w:eastAsia="黑体" w:cs="黑体"/>
          <w:b/>
          <w:bCs/>
          <w:sz w:val="36"/>
          <w:szCs w:val="36"/>
        </w:rPr>
        <w:t>第二附属医院</w:t>
      </w:r>
    </w:p>
    <w:p w14:paraId="340DC1BA">
      <w:pPr>
        <w:numPr>
          <w:ilvl w:val="0"/>
          <w:numId w:val="0"/>
        </w:num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临床研究管理</w:t>
      </w:r>
      <w:r>
        <w:rPr>
          <w:rFonts w:hint="default" w:ascii="黑体" w:hAnsi="黑体" w:eastAsia="黑体" w:cs="黑体"/>
          <w:b/>
          <w:bCs/>
          <w:sz w:val="36"/>
          <w:szCs w:val="36"/>
          <w:lang w:val="en-US" w:eastAsia="zh-CN"/>
        </w:rPr>
        <w:t>系统</w:t>
      </w:r>
      <w:r>
        <w:rPr>
          <w:rFonts w:hint="eastAsia" w:ascii="黑体" w:hAnsi="黑体" w:eastAsia="黑体" w:cs="黑体"/>
          <w:b/>
          <w:bCs/>
          <w:sz w:val="36"/>
          <w:szCs w:val="36"/>
          <w:lang w:val="en-US" w:eastAsia="zh-CN"/>
        </w:rPr>
        <w:t>项目需求书</w:t>
      </w:r>
    </w:p>
    <w:p w14:paraId="29F99AD6">
      <w:pPr>
        <w:pStyle w:val="9"/>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1项目背景</w:t>
      </w:r>
    </w:p>
    <w:p w14:paraId="3A607A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caps w:val="0"/>
          <w:color w:val="0D0D0D"/>
          <w:spacing w:val="0"/>
          <w:sz w:val="24"/>
          <w:szCs w:val="24"/>
          <w:shd w:val="clear" w:fill="FFFFFF"/>
        </w:rPr>
      </w:pPr>
      <w:r>
        <w:rPr>
          <w:rFonts w:hint="eastAsia" w:ascii="宋体" w:hAnsi="宋体" w:eastAsia="宋体" w:cs="宋体"/>
          <w:i w:val="0"/>
          <w:iCs w:val="0"/>
          <w:caps w:val="0"/>
          <w:color w:val="000000"/>
          <w:spacing w:val="0"/>
          <w:sz w:val="24"/>
          <w:szCs w:val="24"/>
          <w:vertAlign w:val="baseline"/>
        </w:rPr>
        <w:t>近年来，医疗科技飞速发展、创新药物不断涌现，临床试验的规模不断扩大、复杂程度日益提升。</w:t>
      </w:r>
      <w:r>
        <w:rPr>
          <w:rFonts w:hint="eastAsia" w:ascii="宋体" w:hAnsi="宋体" w:eastAsia="宋体" w:cs="宋体"/>
          <w:i w:val="0"/>
          <w:iCs w:val="0"/>
          <w:caps w:val="0"/>
          <w:color w:val="0D0D0D"/>
          <w:spacing w:val="0"/>
          <w:sz w:val="24"/>
          <w:szCs w:val="24"/>
          <w:shd w:val="clear" w:fill="FFFFFF"/>
        </w:rPr>
        <w:t>传统管理模式在受试者信息管理、试验数据记录与追踪、流程合规监控等方面暴露出效率低、易出错、难追溯等问题，难以满足日益严格的法规要求与精细化管理需求。</w:t>
      </w:r>
      <w:r>
        <w:rPr>
          <w:rFonts w:hint="eastAsia" w:ascii="宋体" w:hAnsi="宋体" w:eastAsia="宋体" w:cs="宋体"/>
          <w:i w:val="0"/>
          <w:iCs w:val="0"/>
          <w:caps w:val="0"/>
          <w:color w:val="000000"/>
          <w:spacing w:val="0"/>
          <w:sz w:val="24"/>
          <w:szCs w:val="24"/>
          <w:vertAlign w:val="baseline"/>
        </w:rPr>
        <w:t>为进一步提高我院对临床试验项目的管理效率与质量，确保试验数据的真实性、完整性和可追溯性，推动医院临床试验的高质量发展，故开展本项目。</w:t>
      </w:r>
    </w:p>
    <w:p w14:paraId="664BE224">
      <w:pPr>
        <w:pStyle w:val="9"/>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2建设目标</w:t>
      </w:r>
    </w:p>
    <w:p w14:paraId="2F910D7D">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依托临床研究管理</w:t>
      </w:r>
      <w:r>
        <w:rPr>
          <w:rFonts w:hint="default" w:ascii="Times New Roman" w:hAnsi="Times New Roman" w:eastAsia="宋体" w:cs="Times New Roman"/>
          <w:sz w:val="24"/>
          <w:szCs w:val="24"/>
          <w:highlight w:val="none"/>
          <w:lang w:val="en-US" w:eastAsia="zh-CN"/>
        </w:rPr>
        <w:t>系统</w:t>
      </w:r>
      <w:r>
        <w:rPr>
          <w:rFonts w:hint="eastAsia" w:ascii="Times New Roman" w:hAnsi="Times New Roman" w:eastAsia="宋体" w:cs="Times New Roman"/>
          <w:sz w:val="24"/>
          <w:szCs w:val="24"/>
          <w:highlight w:val="none"/>
          <w:lang w:val="en-US" w:eastAsia="zh-CN"/>
        </w:rPr>
        <w:t>实现对临床研究（包含药物临床试验、医疗器械临床试验、研究者发起的临床研究）立项、伦理、合同、结题等节点的在线审核；实现对受试者、试验用药、经费、档案以及质量控制等全流程的信息化管理，提高对于临床试验实施质量和受试者的风险控制，强化管理时效。</w:t>
      </w:r>
    </w:p>
    <w:p w14:paraId="7E8060B1">
      <w:pPr>
        <w:keepNext w:val="0"/>
        <w:keepLines w:val="0"/>
        <w:pageBreakBefore w:val="0"/>
        <w:kinsoku/>
        <w:wordWrap/>
        <w:overflowPunct/>
        <w:topLinePunct w:val="0"/>
        <w:autoSpaceDE/>
        <w:autoSpaceDN/>
        <w:bidi w:val="0"/>
        <w:spacing w:line="360" w:lineRule="auto"/>
        <w:ind w:right="0" w:firstLine="480" w:firstLineChars="200"/>
        <w:textAlignment w:val="auto"/>
        <w:rPr>
          <w:rFonts w:hint="default"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提高临床研究的管理效率与质量。</w:t>
      </w:r>
    </w:p>
    <w:p w14:paraId="62A8A3B8">
      <w:pPr>
        <w:pStyle w:val="9"/>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3建设内容</w:t>
      </w:r>
    </w:p>
    <w:p w14:paraId="0320026A">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zh-CN" w:eastAsia="zh-CN"/>
        </w:rPr>
        <w:t>（</w:t>
      </w:r>
      <w:r>
        <w:rPr>
          <w:rFonts w:hint="eastAsia" w:ascii="Times New Roman" w:hAnsi="Times New Roman" w:eastAsia="宋体" w:cs="Times New Roman"/>
          <w:sz w:val="24"/>
          <w:szCs w:val="24"/>
          <w:highlight w:val="none"/>
          <w:lang w:val="en-US" w:eastAsia="zh-CN"/>
        </w:rPr>
        <w:t>一</w:t>
      </w:r>
      <w:r>
        <w:rPr>
          <w:rFonts w:hint="eastAsia" w:ascii="Times New Roman" w:hAnsi="Times New Roman" w:eastAsia="宋体" w:cs="Times New Roman"/>
          <w:sz w:val="24"/>
          <w:szCs w:val="24"/>
          <w:highlight w:val="none"/>
          <w:lang w:val="zh-CN" w:eastAsia="zh-CN"/>
        </w:rPr>
        <w:t>）本项目建设内容</w:t>
      </w:r>
      <w:r>
        <w:rPr>
          <w:rFonts w:hint="eastAsia" w:ascii="Times New Roman" w:hAnsi="Times New Roman" w:eastAsia="宋体" w:cs="Times New Roman"/>
          <w:sz w:val="24"/>
          <w:szCs w:val="24"/>
          <w:highlight w:val="none"/>
          <w:lang w:val="en-US" w:eastAsia="zh-CN"/>
        </w:rPr>
        <w:t>包括软硬件的供货、安装、调试、运行、维护、技术支持及质保服务等，建设内容清单如下：</w:t>
      </w:r>
    </w:p>
    <w:p w14:paraId="33196287">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zh-CN" w:eastAsia="zh-CN"/>
        </w:rPr>
        <w:t>本项目建设内容</w:t>
      </w:r>
      <w:r>
        <w:rPr>
          <w:rFonts w:hint="eastAsia" w:ascii="Times New Roman" w:hAnsi="Times New Roman" w:eastAsia="宋体" w:cs="Times New Roman"/>
          <w:sz w:val="24"/>
          <w:szCs w:val="24"/>
          <w:highlight w:val="none"/>
          <w:lang w:val="en-US" w:eastAsia="zh-CN"/>
        </w:rPr>
        <w:t>包括软件的供货、安装、调试、运行、维护、技术支持及售后服务等，建设内容清单如下：</w:t>
      </w:r>
    </w:p>
    <w:tbl>
      <w:tblPr>
        <w:tblStyle w:val="6"/>
        <w:tblW w:w="8540"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83"/>
        <w:gridCol w:w="1005"/>
        <w:gridCol w:w="814"/>
        <w:gridCol w:w="4038"/>
      </w:tblGrid>
      <w:tr w14:paraId="646AD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8540" w:type="dxa"/>
            <w:gridSpan w:val="4"/>
            <w:noWrap/>
          </w:tcPr>
          <w:p w14:paraId="431B006A">
            <w:pPr>
              <w:rPr>
                <w:rFonts w:ascii="宋体" w:hAnsi="宋体" w:eastAsia="宋体" w:cs="宋体"/>
                <w:szCs w:val="21"/>
              </w:rPr>
            </w:pPr>
            <w:r>
              <w:rPr>
                <w:rFonts w:hint="eastAsia" w:ascii="宋体" w:hAnsi="宋体" w:eastAsia="宋体" w:cs="宋体"/>
                <w:b/>
                <w:bCs/>
                <w:szCs w:val="21"/>
              </w:rPr>
              <w:t>软件部分：</w:t>
            </w:r>
          </w:p>
        </w:tc>
      </w:tr>
      <w:tr w14:paraId="5C55E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2683" w:type="dxa"/>
            <w:noWrap/>
          </w:tcPr>
          <w:p w14:paraId="3D07AC14">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名称</w:t>
            </w:r>
          </w:p>
        </w:tc>
        <w:tc>
          <w:tcPr>
            <w:tcW w:w="1005" w:type="dxa"/>
            <w:noWrap/>
          </w:tcPr>
          <w:p w14:paraId="2D9F8034">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数量</w:t>
            </w:r>
          </w:p>
        </w:tc>
        <w:tc>
          <w:tcPr>
            <w:tcW w:w="814" w:type="dxa"/>
            <w:noWrap/>
          </w:tcPr>
          <w:p w14:paraId="559FA07F">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单位</w:t>
            </w:r>
          </w:p>
        </w:tc>
        <w:tc>
          <w:tcPr>
            <w:tcW w:w="4038" w:type="dxa"/>
            <w:noWrap/>
          </w:tcPr>
          <w:p w14:paraId="19E2993D">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备注</w:t>
            </w:r>
          </w:p>
        </w:tc>
      </w:tr>
      <w:tr w14:paraId="1D5DA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683" w:type="dxa"/>
            <w:noWrap/>
          </w:tcPr>
          <w:p w14:paraId="526B17C4">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临床研究管理系统</w:t>
            </w:r>
          </w:p>
        </w:tc>
        <w:tc>
          <w:tcPr>
            <w:tcW w:w="1005" w:type="dxa"/>
            <w:noWrap/>
          </w:tcPr>
          <w:p w14:paraId="69CB15AC">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w:t>
            </w:r>
          </w:p>
        </w:tc>
        <w:tc>
          <w:tcPr>
            <w:tcW w:w="814" w:type="dxa"/>
            <w:noWrap/>
          </w:tcPr>
          <w:p w14:paraId="5DDACD0A">
            <w:pPr>
              <w:rPr>
                <w:rFonts w:hint="eastAsia" w:ascii="宋体" w:hAnsi="宋体" w:eastAsia="宋体" w:cs="宋体"/>
                <w:b/>
                <w:bCs/>
                <w:szCs w:val="21"/>
                <w:lang w:val="en-US" w:eastAsia="zh-CN"/>
              </w:rPr>
            </w:pPr>
            <w:r>
              <w:rPr>
                <w:rFonts w:hint="eastAsia" w:ascii="宋体" w:hAnsi="宋体" w:eastAsia="宋体" w:cs="宋体"/>
                <w:b/>
                <w:bCs/>
                <w:szCs w:val="21"/>
                <w:lang w:val="en-US" w:eastAsia="zh-CN"/>
              </w:rPr>
              <w:t>套</w:t>
            </w:r>
          </w:p>
        </w:tc>
        <w:tc>
          <w:tcPr>
            <w:tcW w:w="4038" w:type="dxa"/>
            <w:noWrap/>
          </w:tcPr>
          <w:p w14:paraId="2C29ACC4">
            <w:pPr>
              <w:rPr>
                <w:rFonts w:hint="default" w:ascii="宋体" w:hAnsi="宋体" w:eastAsia="宋体" w:cs="宋体"/>
                <w:b/>
                <w:bCs/>
                <w:szCs w:val="21"/>
                <w:lang w:val="en-US" w:eastAsia="zh-CN"/>
              </w:rPr>
            </w:pPr>
            <w:r>
              <w:rPr>
                <w:rFonts w:hint="eastAsia" w:ascii="宋体" w:hAnsi="宋体" w:eastAsia="宋体" w:cs="宋体"/>
                <w:b/>
                <w:bCs/>
                <w:szCs w:val="21"/>
                <w:lang w:val="en-US" w:eastAsia="zh-CN"/>
              </w:rPr>
              <w:t>须完成与采购人相关系统的接口对接及改造</w:t>
            </w:r>
          </w:p>
        </w:tc>
      </w:tr>
    </w:tbl>
    <w:p w14:paraId="1B9B4F8E"/>
    <w:tbl>
      <w:tblPr>
        <w:tblStyle w:val="6"/>
        <w:tblW w:w="856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
        <w:gridCol w:w="864"/>
        <w:gridCol w:w="3736"/>
        <w:gridCol w:w="517"/>
        <w:gridCol w:w="593"/>
        <w:gridCol w:w="1209"/>
        <w:gridCol w:w="1137"/>
      </w:tblGrid>
      <w:tr w14:paraId="37878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8560" w:type="dxa"/>
            <w:gridSpan w:val="7"/>
            <w:noWrap/>
            <w:vAlign w:val="center"/>
          </w:tcPr>
          <w:p w14:paraId="6F84246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left"/>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硬件部分：</w:t>
            </w:r>
          </w:p>
        </w:tc>
      </w:tr>
      <w:tr w14:paraId="51C05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504" w:type="dxa"/>
            <w:noWrap/>
            <w:vAlign w:val="center"/>
          </w:tcPr>
          <w:p w14:paraId="3470D87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序号</w:t>
            </w:r>
          </w:p>
        </w:tc>
        <w:tc>
          <w:tcPr>
            <w:tcW w:w="864" w:type="dxa"/>
            <w:vAlign w:val="center"/>
          </w:tcPr>
          <w:p w14:paraId="7FECF79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产品名称</w:t>
            </w:r>
          </w:p>
        </w:tc>
        <w:tc>
          <w:tcPr>
            <w:tcW w:w="3736" w:type="dxa"/>
            <w:vAlign w:val="center"/>
          </w:tcPr>
          <w:p w14:paraId="5B7F17AE">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参考配置</w:t>
            </w:r>
          </w:p>
        </w:tc>
        <w:tc>
          <w:tcPr>
            <w:tcW w:w="517" w:type="dxa"/>
            <w:vAlign w:val="center"/>
          </w:tcPr>
          <w:p w14:paraId="69B52620">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数量</w:t>
            </w:r>
          </w:p>
        </w:tc>
        <w:tc>
          <w:tcPr>
            <w:tcW w:w="593" w:type="dxa"/>
            <w:vAlign w:val="center"/>
          </w:tcPr>
          <w:p w14:paraId="66B7F3C8">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单位</w:t>
            </w:r>
          </w:p>
        </w:tc>
        <w:tc>
          <w:tcPr>
            <w:tcW w:w="1209" w:type="dxa"/>
            <w:noWrap/>
            <w:vAlign w:val="center"/>
          </w:tcPr>
          <w:p w14:paraId="09304ACF">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单价</w:t>
            </w:r>
          </w:p>
          <w:p w14:paraId="295721C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（元）</w:t>
            </w:r>
          </w:p>
        </w:tc>
        <w:tc>
          <w:tcPr>
            <w:tcW w:w="1137" w:type="dxa"/>
            <w:noWrap/>
            <w:vAlign w:val="center"/>
          </w:tcPr>
          <w:p w14:paraId="6FA45BC1">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价格</w:t>
            </w:r>
          </w:p>
          <w:p w14:paraId="2A054B74">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（元）</w:t>
            </w:r>
          </w:p>
        </w:tc>
      </w:tr>
      <w:tr w14:paraId="43572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04" w:type="dxa"/>
            <w:vMerge w:val="restart"/>
            <w:noWrap/>
            <w:vAlign w:val="center"/>
          </w:tcPr>
          <w:p w14:paraId="4C97597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1</w:t>
            </w:r>
          </w:p>
        </w:tc>
        <w:tc>
          <w:tcPr>
            <w:tcW w:w="864" w:type="dxa"/>
            <w:vMerge w:val="restart"/>
            <w:vAlign w:val="center"/>
          </w:tcPr>
          <w:p w14:paraId="1CF8DFB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应用服务器</w:t>
            </w:r>
          </w:p>
        </w:tc>
        <w:tc>
          <w:tcPr>
            <w:tcW w:w="3736" w:type="dxa"/>
            <w:vMerge w:val="restart"/>
            <w:vAlign w:val="center"/>
          </w:tcPr>
          <w:p w14:paraId="46387684">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宋体" w:cs="Times New Roman"/>
                <w:kern w:val="0"/>
                <w:sz w:val="24"/>
                <w:szCs w:val="24"/>
                <w:lang w:val="en-US" w:eastAsia="zh-CN" w:bidi="ar-SA"/>
              </w:rPr>
            </w:pPr>
            <w:r>
              <w:rPr>
                <w:rFonts w:hint="eastAsia" w:ascii="宋体" w:hAnsi="宋体" w:eastAsia="宋体" w:cs="宋体"/>
                <w:sz w:val="24"/>
                <w:szCs w:val="24"/>
              </w:rPr>
              <w:t>服务器</w:t>
            </w: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GHz 主频以上，</w:t>
            </w:r>
            <w:r>
              <w:rPr>
                <w:rFonts w:hint="eastAsia" w:ascii="宋体" w:hAnsi="宋体" w:eastAsia="宋体" w:cs="宋体"/>
                <w:sz w:val="24"/>
                <w:szCs w:val="24"/>
                <w:lang w:val="en-US" w:eastAsia="zh-CN"/>
              </w:rPr>
              <w:t>8</w:t>
            </w:r>
            <w:r>
              <w:rPr>
                <w:rFonts w:hint="eastAsia" w:ascii="宋体" w:hAnsi="宋体" w:eastAsia="宋体" w:cs="宋体"/>
                <w:sz w:val="24"/>
                <w:szCs w:val="24"/>
              </w:rPr>
              <w:t>核以上，内存配置大于等于</w:t>
            </w:r>
            <w:r>
              <w:rPr>
                <w:rFonts w:hint="eastAsia" w:ascii="宋体" w:hAnsi="宋体" w:eastAsia="宋体" w:cs="宋体"/>
                <w:sz w:val="24"/>
                <w:szCs w:val="24"/>
                <w:lang w:val="en-US" w:eastAsia="zh-CN"/>
              </w:rPr>
              <w:t>32</w:t>
            </w:r>
            <w:r>
              <w:rPr>
                <w:rFonts w:hint="eastAsia" w:ascii="宋体" w:hAnsi="宋体" w:eastAsia="宋体" w:cs="宋体"/>
                <w:sz w:val="24"/>
                <w:szCs w:val="24"/>
              </w:rPr>
              <w:t>GB，磁盘配置两块SAS 300GB　10K及以上硬盘，配置RAID1 阵列卡，配置千兆以太网卡</w:t>
            </w:r>
          </w:p>
        </w:tc>
        <w:tc>
          <w:tcPr>
            <w:tcW w:w="517" w:type="dxa"/>
            <w:vMerge w:val="restart"/>
            <w:vAlign w:val="center"/>
          </w:tcPr>
          <w:p w14:paraId="529409D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3</w:t>
            </w:r>
          </w:p>
        </w:tc>
        <w:tc>
          <w:tcPr>
            <w:tcW w:w="593" w:type="dxa"/>
            <w:vMerge w:val="restart"/>
            <w:vAlign w:val="center"/>
          </w:tcPr>
          <w:p w14:paraId="174E34E6">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default" w:ascii="Times New Roman" w:hAnsi="Times New Roman" w:eastAsia="宋体" w:cs="Times New Roman"/>
                <w:kern w:val="0"/>
                <w:sz w:val="24"/>
                <w:szCs w:val="24"/>
                <w:lang w:val="en-US" w:eastAsia="zh-CN" w:bidi="ar-SA"/>
              </w:rPr>
            </w:pPr>
            <w:r>
              <w:rPr>
                <w:rFonts w:hint="eastAsia" w:ascii="Times New Roman" w:hAnsi="Times New Roman" w:eastAsia="宋体" w:cs="Times New Roman"/>
                <w:kern w:val="0"/>
                <w:sz w:val="24"/>
                <w:szCs w:val="24"/>
                <w:lang w:val="en-US" w:eastAsia="zh-CN" w:bidi="ar-SA"/>
              </w:rPr>
              <w:t>台</w:t>
            </w:r>
          </w:p>
        </w:tc>
        <w:tc>
          <w:tcPr>
            <w:tcW w:w="1209" w:type="dxa"/>
            <w:vMerge w:val="restart"/>
            <w:noWrap/>
            <w:vAlign w:val="center"/>
          </w:tcPr>
          <w:p w14:paraId="1B1F88D9">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p>
        </w:tc>
        <w:tc>
          <w:tcPr>
            <w:tcW w:w="1137" w:type="dxa"/>
            <w:vMerge w:val="restart"/>
            <w:noWrap/>
            <w:vAlign w:val="center"/>
          </w:tcPr>
          <w:p w14:paraId="0C64A8DB">
            <w:pPr>
              <w:keepNext w:val="0"/>
              <w:keepLines w:val="0"/>
              <w:pageBreakBefore w:val="0"/>
              <w:widowControl/>
              <w:numPr>
                <w:ilvl w:val="0"/>
                <w:numId w:val="0"/>
              </w:numPr>
              <w:kinsoku/>
              <w:wordWrap/>
              <w:overflowPunct/>
              <w:topLinePunct w:val="0"/>
              <w:autoSpaceDE/>
              <w:autoSpaceDN/>
              <w:bidi w:val="0"/>
              <w:adjustRightInd/>
              <w:snapToGrid/>
              <w:spacing w:line="360" w:lineRule="auto"/>
              <w:ind w:right="0" w:firstLine="0"/>
              <w:jc w:val="center"/>
              <w:textAlignment w:val="auto"/>
              <w:rPr>
                <w:rFonts w:hint="eastAsia" w:ascii="Times New Roman" w:hAnsi="Times New Roman" w:eastAsia="宋体" w:cs="Times New Roman"/>
                <w:kern w:val="0"/>
                <w:sz w:val="24"/>
                <w:szCs w:val="24"/>
                <w:lang w:val="en-US" w:eastAsia="zh-CN" w:bidi="ar-SA"/>
              </w:rPr>
            </w:pPr>
          </w:p>
        </w:tc>
      </w:tr>
      <w:tr w14:paraId="29CF8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04" w:type="dxa"/>
            <w:vMerge w:val="continue"/>
            <w:noWrap/>
            <w:vAlign w:val="center"/>
          </w:tcPr>
          <w:p w14:paraId="676DA1B4">
            <w:pPr>
              <w:jc w:val="center"/>
              <w:rPr>
                <w:rFonts w:ascii="宋体" w:hAnsi="宋体" w:eastAsia="宋体" w:cs="宋体"/>
                <w:szCs w:val="21"/>
              </w:rPr>
            </w:pPr>
          </w:p>
        </w:tc>
        <w:tc>
          <w:tcPr>
            <w:tcW w:w="864" w:type="dxa"/>
            <w:vMerge w:val="continue"/>
            <w:vAlign w:val="center"/>
          </w:tcPr>
          <w:p w14:paraId="1F23D1B7">
            <w:pPr>
              <w:jc w:val="center"/>
              <w:rPr>
                <w:rFonts w:ascii="宋体" w:hAnsi="宋体" w:eastAsia="宋体" w:cs="宋体"/>
                <w:szCs w:val="21"/>
              </w:rPr>
            </w:pPr>
          </w:p>
        </w:tc>
        <w:tc>
          <w:tcPr>
            <w:tcW w:w="3736" w:type="dxa"/>
            <w:vMerge w:val="continue"/>
            <w:vAlign w:val="center"/>
          </w:tcPr>
          <w:p w14:paraId="5AA9CF32">
            <w:pPr>
              <w:jc w:val="center"/>
              <w:rPr>
                <w:rFonts w:ascii="宋体" w:hAnsi="宋体" w:eastAsia="宋体" w:cs="宋体"/>
                <w:szCs w:val="21"/>
              </w:rPr>
            </w:pPr>
          </w:p>
        </w:tc>
        <w:tc>
          <w:tcPr>
            <w:tcW w:w="517" w:type="dxa"/>
            <w:vMerge w:val="continue"/>
            <w:vAlign w:val="center"/>
          </w:tcPr>
          <w:p w14:paraId="521D92D5">
            <w:pPr>
              <w:jc w:val="center"/>
              <w:rPr>
                <w:rFonts w:ascii="宋体" w:hAnsi="宋体" w:eastAsia="宋体" w:cs="宋体"/>
                <w:szCs w:val="21"/>
              </w:rPr>
            </w:pPr>
          </w:p>
        </w:tc>
        <w:tc>
          <w:tcPr>
            <w:tcW w:w="593" w:type="dxa"/>
            <w:vMerge w:val="continue"/>
            <w:vAlign w:val="center"/>
          </w:tcPr>
          <w:p w14:paraId="5E8BB727">
            <w:pPr>
              <w:jc w:val="center"/>
              <w:rPr>
                <w:rFonts w:ascii="宋体" w:hAnsi="宋体" w:eastAsia="宋体" w:cs="宋体"/>
                <w:szCs w:val="21"/>
              </w:rPr>
            </w:pPr>
          </w:p>
        </w:tc>
        <w:tc>
          <w:tcPr>
            <w:tcW w:w="1209" w:type="dxa"/>
            <w:vMerge w:val="continue"/>
            <w:noWrap/>
            <w:vAlign w:val="center"/>
          </w:tcPr>
          <w:p w14:paraId="4DA8403A">
            <w:pPr>
              <w:jc w:val="center"/>
              <w:rPr>
                <w:rFonts w:ascii="宋体" w:hAnsi="宋体" w:eastAsia="宋体" w:cs="宋体"/>
                <w:szCs w:val="21"/>
              </w:rPr>
            </w:pPr>
          </w:p>
        </w:tc>
        <w:tc>
          <w:tcPr>
            <w:tcW w:w="1137" w:type="dxa"/>
            <w:vMerge w:val="continue"/>
            <w:noWrap/>
            <w:vAlign w:val="center"/>
          </w:tcPr>
          <w:p w14:paraId="46F2F26F">
            <w:pPr>
              <w:jc w:val="center"/>
              <w:rPr>
                <w:rFonts w:ascii="宋体" w:hAnsi="宋体" w:eastAsia="宋体" w:cs="宋体"/>
                <w:szCs w:val="21"/>
              </w:rPr>
            </w:pPr>
          </w:p>
        </w:tc>
      </w:tr>
      <w:tr w14:paraId="38FD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04" w:type="dxa"/>
            <w:noWrap/>
            <w:vAlign w:val="center"/>
          </w:tcPr>
          <w:p w14:paraId="35328DD8">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864" w:type="dxa"/>
            <w:vAlign w:val="center"/>
          </w:tcPr>
          <w:p w14:paraId="1679F42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数据库服务器</w:t>
            </w:r>
          </w:p>
        </w:tc>
        <w:tc>
          <w:tcPr>
            <w:tcW w:w="3736" w:type="dxa"/>
            <w:vAlign w:val="center"/>
          </w:tcPr>
          <w:p w14:paraId="3EDF2C1B">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32"/>
                <w:lang w:val="en-US" w:eastAsia="zh-CN"/>
              </w:rPr>
              <w:t>16</w:t>
            </w:r>
            <w:r>
              <w:rPr>
                <w:rFonts w:hint="eastAsia" w:ascii="宋体" w:hAnsi="宋体" w:eastAsia="宋体" w:cs="宋体"/>
                <w:sz w:val="24"/>
                <w:szCs w:val="32"/>
              </w:rPr>
              <w:t>核以上CPU；</w:t>
            </w:r>
            <w:r>
              <w:rPr>
                <w:rFonts w:hint="eastAsia" w:ascii="宋体" w:hAnsi="宋体" w:eastAsia="宋体" w:cs="宋体"/>
                <w:sz w:val="24"/>
                <w:szCs w:val="24"/>
              </w:rPr>
              <w:t>内存配置大于等于</w:t>
            </w:r>
            <w:r>
              <w:rPr>
                <w:rFonts w:hint="eastAsia" w:ascii="宋体" w:hAnsi="宋体" w:eastAsia="宋体" w:cs="宋体"/>
                <w:sz w:val="24"/>
                <w:szCs w:val="24"/>
                <w:lang w:val="en-US" w:eastAsia="zh-CN"/>
              </w:rPr>
              <w:t>32</w:t>
            </w:r>
            <w:r>
              <w:rPr>
                <w:rFonts w:hint="eastAsia" w:ascii="宋体" w:hAnsi="宋体" w:eastAsia="宋体" w:cs="宋体"/>
                <w:sz w:val="24"/>
                <w:szCs w:val="24"/>
              </w:rPr>
              <w:t>GB，磁盘配置两块SAS 300GB　10K及以上硬盘，</w:t>
            </w:r>
            <w:r>
              <w:rPr>
                <w:rFonts w:hint="eastAsia" w:ascii="宋体" w:hAnsi="宋体" w:eastAsia="宋体" w:cs="宋体"/>
                <w:sz w:val="24"/>
                <w:szCs w:val="24"/>
                <w:lang w:val="en-US" w:eastAsia="zh-CN"/>
              </w:rPr>
              <w:t>磁盘空间可扩充，</w:t>
            </w:r>
            <w:r>
              <w:rPr>
                <w:rFonts w:hint="eastAsia" w:ascii="宋体" w:hAnsi="宋体" w:eastAsia="宋体" w:cs="宋体"/>
                <w:sz w:val="24"/>
                <w:szCs w:val="24"/>
              </w:rPr>
              <w:t>配置RAID1 阵列卡，配置千兆以太网卡</w:t>
            </w:r>
          </w:p>
        </w:tc>
        <w:tc>
          <w:tcPr>
            <w:tcW w:w="517" w:type="dxa"/>
            <w:vAlign w:val="center"/>
          </w:tcPr>
          <w:p w14:paraId="282D799E">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593" w:type="dxa"/>
            <w:vAlign w:val="center"/>
          </w:tcPr>
          <w:p w14:paraId="438F1C80">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台</w:t>
            </w:r>
          </w:p>
        </w:tc>
        <w:tc>
          <w:tcPr>
            <w:tcW w:w="1209" w:type="dxa"/>
            <w:noWrap/>
            <w:vAlign w:val="center"/>
          </w:tcPr>
          <w:p w14:paraId="29D237C7">
            <w:pPr>
              <w:spacing w:line="360" w:lineRule="auto"/>
              <w:jc w:val="center"/>
              <w:rPr>
                <w:rFonts w:hint="eastAsia" w:ascii="宋体" w:hAnsi="宋体" w:eastAsia="宋体" w:cs="宋体"/>
                <w:sz w:val="24"/>
                <w:szCs w:val="24"/>
              </w:rPr>
            </w:pPr>
          </w:p>
        </w:tc>
        <w:tc>
          <w:tcPr>
            <w:tcW w:w="1137" w:type="dxa"/>
            <w:noWrap/>
            <w:vAlign w:val="center"/>
          </w:tcPr>
          <w:p w14:paraId="5079AD78">
            <w:pPr>
              <w:spacing w:line="360" w:lineRule="auto"/>
              <w:jc w:val="center"/>
              <w:rPr>
                <w:rFonts w:hint="eastAsia" w:ascii="宋体" w:hAnsi="宋体" w:eastAsia="宋体" w:cs="宋体"/>
                <w:sz w:val="24"/>
                <w:szCs w:val="24"/>
              </w:rPr>
            </w:pPr>
          </w:p>
        </w:tc>
      </w:tr>
    </w:tbl>
    <w:p w14:paraId="369EE57C">
      <w:pPr>
        <w:pStyle w:val="3"/>
        <w:rPr>
          <w:rFonts w:hint="eastAsia"/>
          <w:lang w:val="en-US" w:eastAsia="zh-CN"/>
        </w:rPr>
      </w:pPr>
    </w:p>
    <w:p w14:paraId="584546F0">
      <w:pPr>
        <w:pStyle w:val="9"/>
        <w:keepNext w:val="0"/>
        <w:keepLines w:val="0"/>
        <w:pageBreakBefore w:val="0"/>
        <w:numPr>
          <w:ilvl w:val="0"/>
          <w:numId w:val="1"/>
        </w:numPr>
        <w:kinsoku/>
        <w:wordWrap/>
        <w:overflowPunct/>
        <w:topLinePunct w:val="0"/>
        <w:autoSpaceDE/>
        <w:autoSpaceDN/>
        <w:bidi w:val="0"/>
        <w:adjustRightInd/>
        <w:spacing w:line="360" w:lineRule="auto"/>
        <w:ind w:firstLine="480" w:firstLineChars="200"/>
        <w:rPr>
          <w:rFonts w:hint="eastAsia" w:ascii="Times New Roman" w:hAnsi="Times New Roman" w:eastAsia="宋体" w:cs="Times New Roman"/>
          <w:sz w:val="24"/>
          <w:szCs w:val="24"/>
          <w:highlight w:val="none"/>
          <w:lang w:val="en-US" w:eastAsia="zh-CN"/>
        </w:rPr>
      </w:pPr>
      <w:r>
        <w:rPr>
          <w:rFonts w:hint="eastAsia" w:ascii="Times New Roman" w:hAnsi="Times New Roman" w:eastAsia="宋体" w:cs="Times New Roman"/>
          <w:sz w:val="24"/>
          <w:szCs w:val="24"/>
          <w:highlight w:val="none"/>
          <w:lang w:val="en-US" w:eastAsia="zh-CN"/>
        </w:rPr>
        <w:t>软件需求描述</w:t>
      </w:r>
    </w:p>
    <w:tbl>
      <w:tblPr>
        <w:tblStyle w:val="6"/>
        <w:tblW w:w="88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414"/>
        <w:gridCol w:w="902"/>
        <w:gridCol w:w="1040"/>
        <w:gridCol w:w="1721"/>
        <w:gridCol w:w="4003"/>
      </w:tblGrid>
      <w:tr w14:paraId="294AB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B100B15">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序号</w:t>
            </w:r>
          </w:p>
        </w:tc>
        <w:tc>
          <w:tcPr>
            <w:tcW w:w="414" w:type="dxa"/>
          </w:tcPr>
          <w:p w14:paraId="004C8164">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建设大类</w:t>
            </w:r>
          </w:p>
        </w:tc>
        <w:tc>
          <w:tcPr>
            <w:tcW w:w="902" w:type="dxa"/>
          </w:tcPr>
          <w:p w14:paraId="6B8C7A97">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一级模块</w:t>
            </w:r>
          </w:p>
        </w:tc>
        <w:tc>
          <w:tcPr>
            <w:tcW w:w="1040" w:type="dxa"/>
          </w:tcPr>
          <w:p w14:paraId="77947FED">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二级模块</w:t>
            </w:r>
          </w:p>
        </w:tc>
        <w:tc>
          <w:tcPr>
            <w:tcW w:w="1721" w:type="dxa"/>
          </w:tcPr>
          <w:p w14:paraId="728794D1">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三级模块</w:t>
            </w:r>
          </w:p>
        </w:tc>
        <w:tc>
          <w:tcPr>
            <w:tcW w:w="4003" w:type="dxa"/>
          </w:tcPr>
          <w:p w14:paraId="0962B739">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功能描述</w:t>
            </w:r>
          </w:p>
        </w:tc>
      </w:tr>
      <w:tr w14:paraId="6BF42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2E3AEE3">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1</w:t>
            </w:r>
          </w:p>
        </w:tc>
        <w:tc>
          <w:tcPr>
            <w:tcW w:w="414" w:type="dxa"/>
            <w:vMerge w:val="restart"/>
            <w:vAlign w:val="center"/>
          </w:tcPr>
          <w:p w14:paraId="312ECB1F">
            <w:pPr>
              <w:pStyle w:val="3"/>
              <w:numPr>
                <w:ilvl w:val="0"/>
                <w:numId w:val="0"/>
              </w:numPr>
              <w:ind w:right="291" w:rightChars="0"/>
              <w:jc w:val="both"/>
              <w:rPr>
                <w:rFonts w:hint="eastAsia"/>
                <w:highlight w:val="none"/>
                <w:vertAlign w:val="baseli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临床研究管理系统</w:t>
            </w:r>
          </w:p>
        </w:tc>
        <w:tc>
          <w:tcPr>
            <w:tcW w:w="902" w:type="dxa"/>
            <w:vMerge w:val="restart"/>
          </w:tcPr>
          <w:p w14:paraId="20C1031B">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项目管理</w:t>
            </w:r>
          </w:p>
        </w:tc>
        <w:tc>
          <w:tcPr>
            <w:tcW w:w="1040" w:type="dxa"/>
            <w:vMerge w:val="restart"/>
          </w:tcPr>
          <w:p w14:paraId="74AB6D79">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消息任务管理</w:t>
            </w:r>
          </w:p>
        </w:tc>
        <w:tc>
          <w:tcPr>
            <w:tcW w:w="1721" w:type="dxa"/>
            <w:shd w:val="clear" w:color="auto" w:fill="auto"/>
            <w:vAlign w:val="center"/>
          </w:tcPr>
          <w:p w14:paraId="2EB0173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消息管理</w:t>
            </w:r>
          </w:p>
        </w:tc>
        <w:tc>
          <w:tcPr>
            <w:tcW w:w="4003" w:type="dxa"/>
            <w:shd w:val="clear" w:color="auto" w:fill="auto"/>
            <w:vAlign w:val="center"/>
          </w:tcPr>
          <w:p w14:paraId="707B3FD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highlight w:val="none"/>
                <w:lang w:val="en-US" w:eastAsia="zh-CN"/>
              </w:rPr>
              <w:t>实现各类业务流程消息的配置、自动发送、分类展示和查阅。</w:t>
            </w:r>
          </w:p>
        </w:tc>
      </w:tr>
      <w:tr w14:paraId="7362D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330B070">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2</w:t>
            </w:r>
          </w:p>
        </w:tc>
        <w:tc>
          <w:tcPr>
            <w:tcW w:w="414" w:type="dxa"/>
            <w:vMerge w:val="continue"/>
          </w:tcPr>
          <w:p w14:paraId="5BA778D7">
            <w:pPr>
              <w:pStyle w:val="3"/>
              <w:numPr>
                <w:ilvl w:val="0"/>
                <w:numId w:val="0"/>
              </w:numPr>
              <w:ind w:right="291" w:rightChars="0"/>
              <w:rPr>
                <w:rFonts w:hint="eastAsia"/>
                <w:highlight w:val="none"/>
                <w:vertAlign w:val="baseline"/>
                <w:lang w:val="en-US" w:eastAsia="zh-CN"/>
              </w:rPr>
            </w:pPr>
          </w:p>
        </w:tc>
        <w:tc>
          <w:tcPr>
            <w:tcW w:w="902" w:type="dxa"/>
            <w:vMerge w:val="continue"/>
          </w:tcPr>
          <w:p w14:paraId="19D223D5">
            <w:pPr>
              <w:pStyle w:val="3"/>
              <w:numPr>
                <w:ilvl w:val="0"/>
                <w:numId w:val="0"/>
              </w:numPr>
              <w:ind w:right="291" w:rightChars="0"/>
              <w:rPr>
                <w:rFonts w:hint="eastAsia"/>
                <w:highlight w:val="none"/>
                <w:vertAlign w:val="baseline"/>
                <w:lang w:val="en-US" w:eastAsia="zh-CN"/>
              </w:rPr>
            </w:pPr>
          </w:p>
        </w:tc>
        <w:tc>
          <w:tcPr>
            <w:tcW w:w="1040" w:type="dxa"/>
            <w:vMerge w:val="continue"/>
          </w:tcPr>
          <w:p w14:paraId="049790E4">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6AE5A55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待办任务提醒</w:t>
            </w:r>
          </w:p>
        </w:tc>
        <w:tc>
          <w:tcPr>
            <w:tcW w:w="4003" w:type="dxa"/>
            <w:shd w:val="clear" w:color="auto" w:fill="auto"/>
            <w:vAlign w:val="center"/>
          </w:tcPr>
          <w:p w14:paraId="339BA703">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firstLine="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基于流程触发待办任务提醒，对待办任务进行分类展示和操作引导；</w:t>
            </w:r>
          </w:p>
          <w:p w14:paraId="0F1B48E7">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highlight w:val="none"/>
                <w:lang w:val="en-US" w:eastAsia="zh-CN"/>
              </w:rPr>
              <w:t>支持配置任务重要级别。</w:t>
            </w:r>
          </w:p>
        </w:tc>
      </w:tr>
      <w:tr w14:paraId="23C8B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02129C1">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3</w:t>
            </w:r>
          </w:p>
        </w:tc>
        <w:tc>
          <w:tcPr>
            <w:tcW w:w="414" w:type="dxa"/>
            <w:vMerge w:val="continue"/>
          </w:tcPr>
          <w:p w14:paraId="72E69DC0">
            <w:pPr>
              <w:pStyle w:val="3"/>
              <w:numPr>
                <w:ilvl w:val="0"/>
                <w:numId w:val="0"/>
              </w:numPr>
              <w:ind w:right="291" w:rightChars="0"/>
              <w:rPr>
                <w:rFonts w:hint="eastAsia"/>
                <w:highlight w:val="none"/>
                <w:vertAlign w:val="baseline"/>
                <w:lang w:val="en-US" w:eastAsia="zh-CN"/>
              </w:rPr>
            </w:pPr>
          </w:p>
        </w:tc>
        <w:tc>
          <w:tcPr>
            <w:tcW w:w="902" w:type="dxa"/>
            <w:vMerge w:val="continue"/>
          </w:tcPr>
          <w:p w14:paraId="354BDD8B">
            <w:pPr>
              <w:pStyle w:val="3"/>
              <w:numPr>
                <w:ilvl w:val="0"/>
                <w:numId w:val="0"/>
              </w:numPr>
              <w:ind w:right="291" w:rightChars="0"/>
              <w:rPr>
                <w:rFonts w:hint="eastAsia"/>
                <w:highlight w:val="none"/>
                <w:vertAlign w:val="baseline"/>
                <w:lang w:val="en-US" w:eastAsia="zh-CN"/>
              </w:rPr>
            </w:pPr>
          </w:p>
        </w:tc>
        <w:tc>
          <w:tcPr>
            <w:tcW w:w="1040" w:type="dxa"/>
            <w:vMerge w:val="continue"/>
          </w:tcPr>
          <w:p w14:paraId="4E523A30">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08B064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sz w:val="24"/>
                <w:szCs w:val="24"/>
                <w:highlight w:val="none"/>
                <w:u w:val="no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消息推送</w:t>
            </w:r>
          </w:p>
        </w:tc>
        <w:tc>
          <w:tcPr>
            <w:tcW w:w="4003" w:type="dxa"/>
            <w:shd w:val="clear" w:color="auto" w:fill="auto"/>
            <w:vAlign w:val="center"/>
          </w:tcPr>
          <w:p w14:paraId="7EB50224">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支持对接短信、企业微信、微信公众号进行消息推送。</w:t>
            </w:r>
          </w:p>
        </w:tc>
      </w:tr>
      <w:tr w14:paraId="0BF9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6915C47">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4</w:t>
            </w:r>
          </w:p>
        </w:tc>
        <w:tc>
          <w:tcPr>
            <w:tcW w:w="414" w:type="dxa"/>
            <w:vMerge w:val="continue"/>
          </w:tcPr>
          <w:p w14:paraId="5976C391">
            <w:pPr>
              <w:pStyle w:val="3"/>
              <w:numPr>
                <w:ilvl w:val="0"/>
                <w:numId w:val="0"/>
              </w:numPr>
              <w:ind w:right="291" w:rightChars="0"/>
              <w:rPr>
                <w:rFonts w:hint="eastAsia"/>
                <w:highlight w:val="none"/>
                <w:vertAlign w:val="baseline"/>
                <w:lang w:val="en-US" w:eastAsia="zh-CN"/>
              </w:rPr>
            </w:pPr>
          </w:p>
        </w:tc>
        <w:tc>
          <w:tcPr>
            <w:tcW w:w="902" w:type="dxa"/>
            <w:vMerge w:val="continue"/>
          </w:tcPr>
          <w:p w14:paraId="3A9D736E">
            <w:pPr>
              <w:pStyle w:val="3"/>
              <w:numPr>
                <w:ilvl w:val="0"/>
                <w:numId w:val="0"/>
              </w:numPr>
              <w:ind w:right="291" w:rightChars="0"/>
              <w:rPr>
                <w:rFonts w:hint="eastAsia"/>
                <w:highlight w:val="none"/>
                <w:vertAlign w:val="baseline"/>
                <w:lang w:val="en-US" w:eastAsia="zh-CN"/>
              </w:rPr>
            </w:pPr>
          </w:p>
        </w:tc>
        <w:tc>
          <w:tcPr>
            <w:tcW w:w="1040" w:type="dxa"/>
            <w:vMerge w:val="restart"/>
          </w:tcPr>
          <w:p w14:paraId="562D1776">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sz w:val="24"/>
                <w:szCs w:val="24"/>
                <w:highlight w:val="none"/>
                <w:u w:val="none"/>
                <w:lang w:val="en-US" w:eastAsia="zh-CN"/>
              </w:rPr>
              <w:t>项目进度一览</w:t>
            </w:r>
          </w:p>
        </w:tc>
        <w:tc>
          <w:tcPr>
            <w:tcW w:w="1721" w:type="dxa"/>
            <w:shd w:val="clear" w:color="auto" w:fill="auto"/>
            <w:vAlign w:val="center"/>
          </w:tcPr>
          <w:p w14:paraId="1CC90E0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项目进度一览</w:t>
            </w:r>
          </w:p>
        </w:tc>
        <w:tc>
          <w:tcPr>
            <w:tcW w:w="4003" w:type="dxa"/>
            <w:shd w:val="clear" w:color="auto" w:fill="auto"/>
            <w:vAlign w:val="center"/>
          </w:tcPr>
          <w:p w14:paraId="42C880B9">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highlight w:val="none"/>
                <w:lang w:val="en-US" w:eastAsia="zh-CN"/>
              </w:rPr>
              <w:t>可实现对项目整体进度的动态总览。</w:t>
            </w:r>
          </w:p>
        </w:tc>
      </w:tr>
      <w:tr w14:paraId="660B2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DF1B364">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5</w:t>
            </w:r>
          </w:p>
        </w:tc>
        <w:tc>
          <w:tcPr>
            <w:tcW w:w="414" w:type="dxa"/>
            <w:vMerge w:val="continue"/>
          </w:tcPr>
          <w:p w14:paraId="7AD65578">
            <w:pPr>
              <w:pStyle w:val="3"/>
              <w:numPr>
                <w:ilvl w:val="0"/>
                <w:numId w:val="0"/>
              </w:numPr>
              <w:ind w:right="291" w:rightChars="0"/>
              <w:rPr>
                <w:rFonts w:hint="eastAsia"/>
                <w:highlight w:val="none"/>
                <w:vertAlign w:val="baseline"/>
                <w:lang w:val="en-US" w:eastAsia="zh-CN"/>
              </w:rPr>
            </w:pPr>
          </w:p>
        </w:tc>
        <w:tc>
          <w:tcPr>
            <w:tcW w:w="902" w:type="dxa"/>
            <w:vMerge w:val="continue"/>
          </w:tcPr>
          <w:p w14:paraId="559793CC">
            <w:pPr>
              <w:pStyle w:val="3"/>
              <w:numPr>
                <w:ilvl w:val="0"/>
                <w:numId w:val="0"/>
              </w:numPr>
              <w:ind w:right="291" w:rightChars="0"/>
              <w:rPr>
                <w:rFonts w:hint="eastAsia"/>
                <w:highlight w:val="none"/>
                <w:vertAlign w:val="baseline"/>
                <w:lang w:val="en-US" w:eastAsia="zh-CN"/>
              </w:rPr>
            </w:pPr>
          </w:p>
        </w:tc>
        <w:tc>
          <w:tcPr>
            <w:tcW w:w="1040" w:type="dxa"/>
            <w:vMerge w:val="continue"/>
          </w:tcPr>
          <w:p w14:paraId="10B69CC9">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0AE0DA2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流程一览</w:t>
            </w:r>
          </w:p>
        </w:tc>
        <w:tc>
          <w:tcPr>
            <w:tcW w:w="4003" w:type="dxa"/>
            <w:shd w:val="clear" w:color="auto" w:fill="auto"/>
            <w:vAlign w:val="center"/>
          </w:tcPr>
          <w:p w14:paraId="2F438BF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right="0" w:firstLine="0"/>
              <w:jc w:val="left"/>
              <w:textAlignment w:val="auto"/>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rPr>
              <w:t>实现从立项申请、立项审批、项目启动、项目过程管理、合同审批</w:t>
            </w:r>
            <w:r>
              <w:rPr>
                <w:rFonts w:hint="eastAsia" w:ascii="Times New Roman" w:hAnsi="Times New Roman" w:eastAsia="宋体" w:cs="Times New Roman"/>
                <w:b w:val="0"/>
                <w:bCs w:val="0"/>
                <w:sz w:val="24"/>
                <w:szCs w:val="24"/>
                <w:highlight w:val="none"/>
                <w:lang w:val="en-US" w:eastAsia="zh-CN"/>
              </w:rPr>
              <w:t>等流程的可视化展示。</w:t>
            </w:r>
          </w:p>
          <w:p w14:paraId="75C5896D">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highlight w:val="none"/>
                <w:lang w:val="en-US" w:eastAsia="zh-CN"/>
              </w:rPr>
              <w:t>支持按照医院的需求配置各项审批流程。</w:t>
            </w:r>
          </w:p>
        </w:tc>
      </w:tr>
      <w:tr w14:paraId="0412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B6E4166">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6</w:t>
            </w:r>
          </w:p>
        </w:tc>
        <w:tc>
          <w:tcPr>
            <w:tcW w:w="414" w:type="dxa"/>
            <w:vMerge w:val="continue"/>
          </w:tcPr>
          <w:p w14:paraId="592FEF3E">
            <w:pPr>
              <w:pStyle w:val="3"/>
              <w:numPr>
                <w:ilvl w:val="0"/>
                <w:numId w:val="0"/>
              </w:numPr>
              <w:ind w:right="291" w:rightChars="0"/>
              <w:rPr>
                <w:rFonts w:hint="eastAsia"/>
                <w:highlight w:val="none"/>
                <w:vertAlign w:val="baseline"/>
                <w:lang w:val="en-US" w:eastAsia="zh-CN"/>
              </w:rPr>
            </w:pPr>
          </w:p>
        </w:tc>
        <w:tc>
          <w:tcPr>
            <w:tcW w:w="902" w:type="dxa"/>
            <w:vMerge w:val="continue"/>
          </w:tcPr>
          <w:p w14:paraId="5158A18E">
            <w:pPr>
              <w:pStyle w:val="3"/>
              <w:numPr>
                <w:ilvl w:val="0"/>
                <w:numId w:val="0"/>
              </w:numPr>
              <w:ind w:right="291" w:rightChars="0"/>
              <w:rPr>
                <w:rFonts w:hint="eastAsia"/>
                <w:highlight w:val="none"/>
                <w:vertAlign w:val="baseline"/>
                <w:lang w:val="en-US" w:eastAsia="zh-CN"/>
              </w:rPr>
            </w:pPr>
          </w:p>
        </w:tc>
        <w:tc>
          <w:tcPr>
            <w:tcW w:w="1040" w:type="dxa"/>
            <w:vMerge w:val="continue"/>
          </w:tcPr>
          <w:p w14:paraId="1D8F374E">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4D68617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项目资料一览</w:t>
            </w:r>
          </w:p>
        </w:tc>
        <w:tc>
          <w:tcPr>
            <w:tcW w:w="4003" w:type="dxa"/>
            <w:shd w:val="clear" w:color="auto" w:fill="auto"/>
            <w:vAlign w:val="center"/>
          </w:tcPr>
          <w:p w14:paraId="6FE33A8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支持总览项目业务流程的所有资料。</w:t>
            </w:r>
          </w:p>
        </w:tc>
      </w:tr>
      <w:tr w14:paraId="0F83F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410C75D">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7</w:t>
            </w:r>
          </w:p>
        </w:tc>
        <w:tc>
          <w:tcPr>
            <w:tcW w:w="414" w:type="dxa"/>
            <w:vMerge w:val="continue"/>
          </w:tcPr>
          <w:p w14:paraId="6A953D3A">
            <w:pPr>
              <w:pStyle w:val="3"/>
              <w:numPr>
                <w:ilvl w:val="0"/>
                <w:numId w:val="0"/>
              </w:numPr>
              <w:ind w:right="291" w:rightChars="0"/>
              <w:rPr>
                <w:rFonts w:hint="eastAsia"/>
                <w:highlight w:val="none"/>
                <w:vertAlign w:val="baseline"/>
                <w:lang w:val="en-US" w:eastAsia="zh-CN"/>
              </w:rPr>
            </w:pPr>
          </w:p>
        </w:tc>
        <w:tc>
          <w:tcPr>
            <w:tcW w:w="902" w:type="dxa"/>
            <w:vMerge w:val="continue"/>
          </w:tcPr>
          <w:p w14:paraId="2EA66341">
            <w:pPr>
              <w:pStyle w:val="3"/>
              <w:numPr>
                <w:ilvl w:val="0"/>
                <w:numId w:val="0"/>
              </w:numPr>
              <w:ind w:right="291" w:rightChars="0"/>
              <w:rPr>
                <w:rFonts w:hint="eastAsia"/>
                <w:highlight w:val="none"/>
                <w:vertAlign w:val="baseline"/>
                <w:lang w:val="en-US" w:eastAsia="zh-CN"/>
              </w:rPr>
            </w:pPr>
          </w:p>
        </w:tc>
        <w:tc>
          <w:tcPr>
            <w:tcW w:w="1040" w:type="dxa"/>
            <w:vMerge w:val="restart"/>
          </w:tcPr>
          <w:p w14:paraId="376B2437">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项目管理</w:t>
            </w:r>
          </w:p>
        </w:tc>
        <w:tc>
          <w:tcPr>
            <w:tcW w:w="1721" w:type="dxa"/>
            <w:shd w:val="clear" w:color="auto" w:fill="auto"/>
            <w:vAlign w:val="center"/>
          </w:tcPr>
          <w:p w14:paraId="4F06745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立项管理</w:t>
            </w:r>
          </w:p>
        </w:tc>
        <w:tc>
          <w:tcPr>
            <w:tcW w:w="4003" w:type="dxa"/>
            <w:shd w:val="clear" w:color="auto" w:fill="auto"/>
            <w:vAlign w:val="center"/>
          </w:tcPr>
          <w:p w14:paraId="6214AB53">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outlineLvl w:val="4"/>
              <w:rPr>
                <w:rFonts w:hint="eastAsia" w:ascii="Times New Roman" w:hAnsi="Times New Roman" w:eastAsia="宋体" w:cs="Times New Roman"/>
                <w:b w:val="0"/>
                <w:bCs w:val="0"/>
                <w:color w:val="auto"/>
                <w:sz w:val="24"/>
                <w:szCs w:val="24"/>
                <w:highlight w:val="none"/>
                <w:lang w:eastAsia="zh"/>
                <w:woUserID w:val="4"/>
              </w:rPr>
            </w:pPr>
            <w:r>
              <w:rPr>
                <w:rFonts w:hint="eastAsia" w:ascii="Times New Roman" w:hAnsi="Times New Roman" w:eastAsia="宋体" w:cs="Times New Roman"/>
                <w:b w:val="0"/>
                <w:bCs w:val="0"/>
                <w:color w:val="auto"/>
                <w:sz w:val="24"/>
                <w:szCs w:val="24"/>
                <w:highlight w:val="none"/>
                <w:lang w:val="en-US" w:eastAsia="zh-CN"/>
              </w:rPr>
              <w:t>实现对药物、医疗器械临床试验（</w:t>
            </w:r>
            <w:r>
              <w:rPr>
                <w:rFonts w:hint="eastAsia" w:ascii="Times New Roman" w:hAnsi="Times New Roman" w:eastAsia="宋体" w:cs="Times New Roman"/>
                <w:b w:val="0"/>
                <w:bCs w:val="0"/>
                <w:color w:val="auto"/>
                <w:sz w:val="24"/>
                <w:szCs w:val="24"/>
                <w:highlight w:val="none"/>
                <w:lang w:val="en-US" w:eastAsia="zh"/>
              </w:rPr>
              <w:t>GCP</w:t>
            </w:r>
            <w:r>
              <w:rPr>
                <w:rFonts w:hint="eastAsia" w:ascii="Times New Roman" w:hAnsi="Times New Roman" w:eastAsia="宋体"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
              </w:rPr>
              <w:t>项目和</w:t>
            </w:r>
            <w:r>
              <w:rPr>
                <w:rFonts w:hint="eastAsia" w:ascii="Times New Roman" w:hAnsi="Times New Roman" w:eastAsia="宋体" w:cs="Times New Roman"/>
                <w:b w:val="0"/>
                <w:bCs w:val="0"/>
                <w:color w:val="auto"/>
                <w:sz w:val="24"/>
                <w:szCs w:val="24"/>
                <w:highlight w:val="none"/>
                <w:lang w:val="en-US" w:eastAsia="zh-CN"/>
              </w:rPr>
              <w:t>研究者发起的临床研究（</w:t>
            </w:r>
            <w:r>
              <w:rPr>
                <w:rFonts w:hint="eastAsia" w:ascii="Times New Roman" w:hAnsi="Times New Roman" w:eastAsia="宋体" w:cs="Times New Roman"/>
                <w:b w:val="0"/>
                <w:bCs w:val="0"/>
                <w:color w:val="auto"/>
                <w:sz w:val="24"/>
                <w:szCs w:val="24"/>
                <w:highlight w:val="none"/>
                <w:lang w:val="en-US" w:eastAsia="zh"/>
              </w:rPr>
              <w:t>IIT</w:t>
            </w:r>
            <w:r>
              <w:rPr>
                <w:rFonts w:hint="eastAsia" w:ascii="Times New Roman" w:hAnsi="Times New Roman" w:eastAsia="宋体" w:cs="Times New Roman"/>
                <w:b w:val="0"/>
                <w:bCs w:val="0"/>
                <w:color w:val="auto"/>
                <w:sz w:val="24"/>
                <w:szCs w:val="24"/>
                <w:highlight w:val="none"/>
                <w:lang w:val="en-US" w:eastAsia="zh-CN"/>
              </w:rPr>
              <w:t>）</w:t>
            </w:r>
            <w:r>
              <w:rPr>
                <w:rFonts w:hint="eastAsia" w:ascii="Times New Roman" w:hAnsi="Times New Roman" w:eastAsia="宋体" w:cs="Times New Roman"/>
                <w:b w:val="0"/>
                <w:bCs w:val="0"/>
                <w:color w:val="auto"/>
                <w:sz w:val="24"/>
                <w:szCs w:val="24"/>
                <w:highlight w:val="none"/>
                <w:lang w:val="en-US" w:eastAsia="zh"/>
              </w:rPr>
              <w:t>项目</w:t>
            </w:r>
            <w:r>
              <w:rPr>
                <w:rFonts w:hint="eastAsia" w:ascii="Times New Roman" w:hAnsi="Times New Roman" w:eastAsia="宋体" w:cs="Times New Roman"/>
                <w:b w:val="0"/>
                <w:bCs w:val="0"/>
                <w:color w:val="auto"/>
                <w:sz w:val="24"/>
                <w:szCs w:val="24"/>
                <w:highlight w:val="none"/>
                <w:lang w:val="en-US" w:eastAsia="zh-CN"/>
              </w:rPr>
              <w:t>立项申请和审核的流程管理，支持对药物</w:t>
            </w:r>
            <w:r>
              <w:rPr>
                <w:rFonts w:hint="eastAsia" w:ascii="Times New Roman" w:hAnsi="Times New Roman" w:eastAsia="宋体" w:cs="Times New Roman"/>
                <w:b w:val="0"/>
                <w:bCs w:val="0"/>
                <w:color w:val="auto"/>
                <w:sz w:val="24"/>
                <w:szCs w:val="24"/>
                <w:highlight w:val="none"/>
              </w:rPr>
              <w:t>临床试验、器械临床试验</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IIT项目分别配置</w:t>
            </w:r>
            <w:r>
              <w:rPr>
                <w:rFonts w:hint="eastAsia" w:ascii="Times New Roman" w:hAnsi="Times New Roman" w:eastAsia="宋体" w:cs="Times New Roman"/>
                <w:b w:val="0"/>
                <w:bCs w:val="0"/>
                <w:color w:val="auto"/>
                <w:sz w:val="24"/>
                <w:szCs w:val="24"/>
                <w:highlight w:val="none"/>
              </w:rPr>
              <w:t>立项流程</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val="en-US" w:eastAsia="zh-CN"/>
              </w:rPr>
              <w:t>立项申请表和</w:t>
            </w:r>
            <w:r>
              <w:rPr>
                <w:rFonts w:hint="eastAsia" w:ascii="Times New Roman" w:hAnsi="Times New Roman" w:eastAsia="宋体" w:cs="Times New Roman"/>
                <w:b w:val="0"/>
                <w:bCs w:val="0"/>
                <w:color w:val="auto"/>
                <w:sz w:val="24"/>
                <w:szCs w:val="24"/>
                <w:highlight w:val="none"/>
              </w:rPr>
              <w:t>送审文件清单</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sz w:val="24"/>
                <w:szCs w:val="24"/>
                <w:highlight w:val="none"/>
                <w:lang w:eastAsia="zh-CN"/>
              </w:rPr>
              <w:br w:type="textWrapping"/>
            </w:r>
            <w:r>
              <w:rPr>
                <w:rFonts w:hint="eastAsia" w:ascii="Times New Roman" w:hAnsi="Times New Roman" w:eastAsia="宋体" w:cs="Times New Roman"/>
                <w:b w:val="0"/>
                <w:bCs w:val="0"/>
                <w:color w:val="auto"/>
                <w:sz w:val="24"/>
                <w:szCs w:val="24"/>
                <w:highlight w:val="none"/>
                <w:lang w:val="en-US" w:eastAsia="zh-CN"/>
              </w:rPr>
              <w:t>支持对</w:t>
            </w:r>
            <w:r>
              <w:rPr>
                <w:rFonts w:hint="eastAsia" w:ascii="Times New Roman" w:hAnsi="Times New Roman" w:eastAsia="宋体" w:cs="Times New Roman"/>
                <w:b w:val="0"/>
                <w:bCs w:val="0"/>
                <w:color w:val="auto"/>
                <w:sz w:val="24"/>
                <w:szCs w:val="24"/>
                <w:highlight w:val="none"/>
                <w:lang w:eastAsia="zh"/>
                <w:woUserID w:val="4"/>
              </w:rPr>
              <w:t>申请文档多版本</w:t>
            </w:r>
            <w:r>
              <w:rPr>
                <w:rFonts w:hint="eastAsia" w:ascii="Times New Roman" w:hAnsi="Times New Roman" w:eastAsia="宋体" w:cs="Times New Roman"/>
                <w:b w:val="0"/>
                <w:bCs w:val="0"/>
                <w:color w:val="auto"/>
                <w:sz w:val="24"/>
                <w:szCs w:val="24"/>
                <w:highlight w:val="none"/>
                <w:lang w:val="en-US" w:eastAsia="zh-CN"/>
                <w:woUserID w:val="4"/>
              </w:rPr>
              <w:t>进行</w:t>
            </w:r>
            <w:r>
              <w:rPr>
                <w:rFonts w:hint="eastAsia" w:ascii="Times New Roman" w:hAnsi="Times New Roman" w:eastAsia="宋体" w:cs="Times New Roman"/>
                <w:b w:val="0"/>
                <w:bCs w:val="0"/>
                <w:color w:val="auto"/>
                <w:sz w:val="24"/>
                <w:szCs w:val="24"/>
                <w:highlight w:val="none"/>
                <w:lang w:eastAsia="zh"/>
                <w:woUserID w:val="4"/>
              </w:rPr>
              <w:t>保存和对比</w:t>
            </w:r>
          </w:p>
          <w:p w14:paraId="538EED58">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woUserID w:val="2"/>
              </w:rPr>
            </w:pPr>
            <w:r>
              <w:rPr>
                <w:rFonts w:hint="eastAsia" w:ascii="Times New Roman" w:hAnsi="Times New Roman" w:eastAsia="宋体" w:cs="Times New Roman"/>
                <w:b w:val="0"/>
                <w:bCs w:val="0"/>
                <w:color w:val="auto"/>
                <w:sz w:val="24"/>
                <w:szCs w:val="24"/>
                <w:highlight w:val="none"/>
                <w:lang w:val="en-US" w:eastAsia="zh-CN"/>
              </w:rPr>
              <w:t>外院</w:t>
            </w:r>
            <w:r>
              <w:rPr>
                <w:rFonts w:hint="eastAsia" w:ascii="Times New Roman" w:hAnsi="Times New Roman" w:eastAsia="宋体" w:cs="Times New Roman"/>
                <w:b w:val="0"/>
                <w:bCs w:val="0"/>
                <w:color w:val="auto"/>
                <w:sz w:val="24"/>
                <w:szCs w:val="24"/>
                <w:highlight w:val="none"/>
                <w:lang w:val="en-US" w:eastAsia="zh"/>
                <w:woUserID w:val="2"/>
              </w:rPr>
              <w:t>人员（CRA）</w:t>
            </w:r>
            <w:r>
              <w:rPr>
                <w:rFonts w:hint="eastAsia" w:ascii="Times New Roman" w:hAnsi="Times New Roman" w:eastAsia="宋体" w:cs="Times New Roman"/>
                <w:b w:val="0"/>
                <w:bCs w:val="0"/>
                <w:color w:val="auto"/>
                <w:sz w:val="24"/>
                <w:szCs w:val="24"/>
                <w:highlight w:val="none"/>
                <w:lang w:val="en-US" w:eastAsia="zh-CN"/>
              </w:rPr>
              <w:t>可提交材料，</w:t>
            </w:r>
            <w:r>
              <w:rPr>
                <w:rFonts w:hint="eastAsia" w:ascii="Times New Roman" w:hAnsi="Times New Roman" w:eastAsia="宋体" w:cs="Times New Roman"/>
                <w:b w:val="0"/>
                <w:bCs w:val="0"/>
                <w:color w:val="auto"/>
                <w:sz w:val="24"/>
                <w:szCs w:val="24"/>
                <w:highlight w:val="none"/>
                <w:lang w:val="en-US" w:eastAsia="zh"/>
                <w:woUserID w:val="2"/>
              </w:rPr>
              <w:t>查看进度节点。</w:t>
            </w:r>
          </w:p>
        </w:tc>
      </w:tr>
      <w:tr w14:paraId="09A06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A8A100D">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8</w:t>
            </w:r>
          </w:p>
        </w:tc>
        <w:tc>
          <w:tcPr>
            <w:tcW w:w="414" w:type="dxa"/>
            <w:vMerge w:val="continue"/>
          </w:tcPr>
          <w:p w14:paraId="07C79D0E">
            <w:pPr>
              <w:pStyle w:val="3"/>
              <w:numPr>
                <w:ilvl w:val="0"/>
                <w:numId w:val="0"/>
              </w:numPr>
              <w:ind w:right="291" w:rightChars="0"/>
              <w:rPr>
                <w:rFonts w:hint="eastAsia"/>
                <w:highlight w:val="none"/>
                <w:vertAlign w:val="baseline"/>
                <w:lang w:val="en-US" w:eastAsia="zh-CN"/>
              </w:rPr>
            </w:pPr>
          </w:p>
        </w:tc>
        <w:tc>
          <w:tcPr>
            <w:tcW w:w="902" w:type="dxa"/>
            <w:vMerge w:val="continue"/>
          </w:tcPr>
          <w:p w14:paraId="59AE071E">
            <w:pPr>
              <w:pStyle w:val="3"/>
              <w:numPr>
                <w:ilvl w:val="0"/>
                <w:numId w:val="0"/>
              </w:numPr>
              <w:ind w:right="291" w:rightChars="0"/>
              <w:rPr>
                <w:rFonts w:hint="eastAsia"/>
                <w:highlight w:val="none"/>
                <w:vertAlign w:val="baseline"/>
                <w:lang w:val="en-US" w:eastAsia="zh-CN"/>
              </w:rPr>
            </w:pPr>
          </w:p>
        </w:tc>
        <w:tc>
          <w:tcPr>
            <w:tcW w:w="1040" w:type="dxa"/>
            <w:vMerge w:val="continue"/>
          </w:tcPr>
          <w:p w14:paraId="3DE183A2">
            <w:pPr>
              <w:pStyle w:val="3"/>
              <w:numPr>
                <w:ilvl w:val="0"/>
                <w:numId w:val="0"/>
              </w:numPr>
              <w:ind w:right="291" w:rightChars="0"/>
              <w:rPr>
                <w:rFonts w:hint="eastAsia" w:ascii="Times New Roman" w:hAnsi="Times New Roman" w:eastAsia="宋体" w:cs="Times New Roman"/>
                <w:b w:val="0"/>
                <w:bCs w:val="0"/>
                <w:i w:val="0"/>
                <w:iCs w:val="0"/>
                <w:color w:val="000000"/>
                <w:sz w:val="24"/>
                <w:szCs w:val="24"/>
                <w:highlight w:val="none"/>
                <w:u w:val="none"/>
                <w:lang w:val="en-US" w:eastAsia="zh-CN"/>
              </w:rPr>
            </w:pPr>
          </w:p>
        </w:tc>
        <w:tc>
          <w:tcPr>
            <w:tcW w:w="1721" w:type="dxa"/>
            <w:shd w:val="clear" w:color="auto" w:fill="auto"/>
            <w:vAlign w:val="center"/>
          </w:tcPr>
          <w:p w14:paraId="1F75592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sz w:val="24"/>
                <w:szCs w:val="24"/>
                <w:highlight w:val="none"/>
                <w:u w:val="none"/>
                <w:lang w:val="en-US" w:eastAsia="zh-CN"/>
              </w:rPr>
            </w:pPr>
            <w:r>
              <w:rPr>
                <w:rFonts w:hint="eastAsia" w:ascii="Times New Roman" w:hAnsi="Times New Roman" w:eastAsia="宋体" w:cs="Times New Roman"/>
                <w:b w:val="0"/>
                <w:bCs w:val="0"/>
                <w:i w:val="0"/>
                <w:iCs w:val="0"/>
                <w:color w:val="auto"/>
                <w:kern w:val="0"/>
                <w:sz w:val="24"/>
                <w:szCs w:val="24"/>
                <w:highlight w:val="none"/>
                <w:u w:val="none"/>
                <w:lang w:val="en-US" w:eastAsia="zh" w:bidi="ar"/>
                <w:woUserID w:val="4"/>
              </w:rPr>
              <w:t>项目分类管理</w:t>
            </w:r>
          </w:p>
        </w:tc>
        <w:tc>
          <w:tcPr>
            <w:tcW w:w="4003" w:type="dxa"/>
            <w:shd w:val="clear" w:color="auto" w:fill="auto"/>
            <w:vAlign w:val="center"/>
          </w:tcPr>
          <w:p w14:paraId="2BC0D2E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outlineLvl w:val="4"/>
              <w:rPr>
                <w:rFonts w:hint="eastAsia" w:ascii="Times New Roman" w:hAnsi="Times New Roman" w:eastAsia="宋体" w:cs="Times New Roman"/>
                <w:b w:val="0"/>
                <w:bCs w:val="0"/>
                <w:color w:val="auto"/>
                <w:sz w:val="24"/>
                <w:szCs w:val="24"/>
                <w:highlight w:val="none"/>
                <w:lang w:val="en-US" w:eastAsia="zh"/>
                <w:woUserID w:val="4"/>
              </w:rPr>
            </w:pPr>
            <w:r>
              <w:rPr>
                <w:rFonts w:hint="eastAsia" w:ascii="Times New Roman" w:hAnsi="Times New Roman" w:eastAsia="宋体" w:cs="Times New Roman"/>
                <w:b w:val="0"/>
                <w:bCs w:val="0"/>
                <w:color w:val="auto"/>
                <w:sz w:val="24"/>
                <w:szCs w:val="24"/>
                <w:highlight w:val="none"/>
                <w:lang w:val="en-US" w:eastAsia="zh-CN"/>
              </w:rPr>
              <w:t>创建项目时申请人选择</w:t>
            </w:r>
            <w:r>
              <w:rPr>
                <w:rFonts w:hint="default" w:ascii="Times New Roman" w:hAnsi="Times New Roman" w:eastAsia="宋体" w:cs="Times New Roman"/>
                <w:b w:val="0"/>
                <w:bCs w:val="0"/>
                <w:color w:val="auto"/>
                <w:sz w:val="24"/>
                <w:szCs w:val="24"/>
                <w:highlight w:val="none"/>
                <w:lang w:val="en-US" w:eastAsia="zh-CN"/>
              </w:rPr>
              <w:t>IIT</w:t>
            </w:r>
            <w:r>
              <w:rPr>
                <w:rFonts w:hint="eastAsia" w:ascii="Times New Roman" w:hAnsi="Times New Roman" w:eastAsia="宋体" w:cs="Times New Roman"/>
                <w:b w:val="0"/>
                <w:bCs w:val="0"/>
                <w:color w:val="auto"/>
                <w:sz w:val="24"/>
                <w:szCs w:val="24"/>
                <w:highlight w:val="none"/>
                <w:lang w:val="en-US" w:eastAsia="zh"/>
                <w:woUserID w:val="4"/>
              </w:rPr>
              <w:t>项目</w:t>
            </w:r>
            <w:r>
              <w:rPr>
                <w:rFonts w:hint="default" w:ascii="Times New Roman" w:hAnsi="Times New Roman" w:eastAsia="宋体" w:cs="Times New Roman"/>
                <w:b w:val="0"/>
                <w:bCs w:val="0"/>
                <w:color w:val="auto"/>
                <w:sz w:val="24"/>
                <w:szCs w:val="24"/>
                <w:highlight w:val="none"/>
                <w:lang w:val="en-US" w:eastAsia="zh-CN"/>
              </w:rPr>
              <w:t>或GCP</w:t>
            </w:r>
            <w:r>
              <w:rPr>
                <w:rFonts w:hint="eastAsia" w:ascii="Times New Roman" w:hAnsi="Times New Roman" w:eastAsia="宋体" w:cs="Times New Roman"/>
                <w:b w:val="0"/>
                <w:bCs w:val="0"/>
                <w:color w:val="auto"/>
                <w:sz w:val="24"/>
                <w:szCs w:val="24"/>
                <w:highlight w:val="none"/>
                <w:lang w:val="en-US" w:eastAsia="zh"/>
                <w:woUserID w:val="4"/>
              </w:rPr>
              <w:t>项目</w:t>
            </w:r>
            <w:r>
              <w:rPr>
                <w:rFonts w:hint="default" w:ascii="Times New Roman" w:hAnsi="Times New Roman" w:eastAsia="宋体" w:cs="Times New Roman"/>
                <w:b w:val="0"/>
                <w:bCs w:val="0"/>
                <w:color w:val="auto"/>
                <w:sz w:val="24"/>
                <w:szCs w:val="24"/>
                <w:highlight w:val="none"/>
                <w:lang w:val="en-US" w:eastAsia="zh-CN"/>
              </w:rPr>
              <w:t>，触发不同流程</w:t>
            </w:r>
            <w:r>
              <w:rPr>
                <w:rFonts w:hint="eastAsia" w:ascii="Times New Roman" w:hAnsi="Times New Roman" w:eastAsia="宋体" w:cs="Times New Roman"/>
                <w:b w:val="0"/>
                <w:bCs w:val="0"/>
                <w:color w:val="auto"/>
                <w:sz w:val="24"/>
                <w:szCs w:val="24"/>
                <w:highlight w:val="none"/>
                <w:lang w:val="en-US" w:eastAsia="zh"/>
                <w:woUserID w:val="4"/>
              </w:rPr>
              <w:t>。</w:t>
            </w:r>
          </w:p>
          <w:p w14:paraId="701D08D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
                <w:woUserID w:val="4"/>
              </w:rPr>
              <w:t>根据IIT项目的研究类型，触发不同的流程。</w:t>
            </w:r>
          </w:p>
        </w:tc>
      </w:tr>
      <w:tr w14:paraId="28E85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B62D942">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9</w:t>
            </w:r>
          </w:p>
        </w:tc>
        <w:tc>
          <w:tcPr>
            <w:tcW w:w="414" w:type="dxa"/>
            <w:vMerge w:val="continue"/>
          </w:tcPr>
          <w:p w14:paraId="07C560C5">
            <w:pPr>
              <w:pStyle w:val="3"/>
              <w:numPr>
                <w:ilvl w:val="0"/>
                <w:numId w:val="0"/>
              </w:numPr>
              <w:ind w:right="291" w:rightChars="0"/>
              <w:rPr>
                <w:rFonts w:hint="eastAsia"/>
                <w:highlight w:val="none"/>
                <w:vertAlign w:val="baseline"/>
                <w:lang w:val="en-US" w:eastAsia="zh-CN"/>
              </w:rPr>
            </w:pPr>
          </w:p>
        </w:tc>
        <w:tc>
          <w:tcPr>
            <w:tcW w:w="902" w:type="dxa"/>
            <w:vMerge w:val="continue"/>
          </w:tcPr>
          <w:p w14:paraId="2E0D1D4A">
            <w:pPr>
              <w:pStyle w:val="3"/>
              <w:numPr>
                <w:ilvl w:val="0"/>
                <w:numId w:val="0"/>
              </w:numPr>
              <w:ind w:right="291" w:rightChars="0"/>
              <w:rPr>
                <w:rFonts w:hint="eastAsia"/>
                <w:highlight w:val="none"/>
                <w:vertAlign w:val="baseline"/>
                <w:lang w:val="en-US" w:eastAsia="zh-CN"/>
              </w:rPr>
            </w:pPr>
          </w:p>
        </w:tc>
        <w:tc>
          <w:tcPr>
            <w:tcW w:w="1040" w:type="dxa"/>
            <w:vMerge w:val="continue"/>
          </w:tcPr>
          <w:p w14:paraId="154E0AE0">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5C1A897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启动管理</w:t>
            </w:r>
          </w:p>
        </w:tc>
        <w:tc>
          <w:tcPr>
            <w:tcW w:w="4003" w:type="dxa"/>
            <w:shd w:val="clear" w:color="auto" w:fill="auto"/>
            <w:vAlign w:val="center"/>
          </w:tcPr>
          <w:p w14:paraId="4AC7AD45">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实现启动前文件递交和启动会的申请管理。</w:t>
            </w:r>
          </w:p>
        </w:tc>
      </w:tr>
      <w:tr w14:paraId="63FF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29ADDBB">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10</w:t>
            </w:r>
          </w:p>
        </w:tc>
        <w:tc>
          <w:tcPr>
            <w:tcW w:w="414" w:type="dxa"/>
            <w:vMerge w:val="continue"/>
          </w:tcPr>
          <w:p w14:paraId="63BD0F5A">
            <w:pPr>
              <w:pStyle w:val="3"/>
              <w:numPr>
                <w:ilvl w:val="0"/>
                <w:numId w:val="0"/>
              </w:numPr>
              <w:ind w:right="291" w:rightChars="0"/>
              <w:rPr>
                <w:rFonts w:hint="eastAsia"/>
                <w:highlight w:val="none"/>
                <w:vertAlign w:val="baseline"/>
                <w:lang w:val="en-US" w:eastAsia="zh-CN"/>
              </w:rPr>
            </w:pPr>
          </w:p>
        </w:tc>
        <w:tc>
          <w:tcPr>
            <w:tcW w:w="902" w:type="dxa"/>
            <w:vMerge w:val="continue"/>
          </w:tcPr>
          <w:p w14:paraId="4506B0ED">
            <w:pPr>
              <w:pStyle w:val="3"/>
              <w:numPr>
                <w:ilvl w:val="0"/>
                <w:numId w:val="0"/>
              </w:numPr>
              <w:ind w:right="291" w:rightChars="0"/>
              <w:rPr>
                <w:rFonts w:hint="eastAsia"/>
                <w:highlight w:val="none"/>
                <w:vertAlign w:val="baseline"/>
                <w:lang w:val="en-US" w:eastAsia="zh-CN"/>
              </w:rPr>
            </w:pPr>
          </w:p>
        </w:tc>
        <w:tc>
          <w:tcPr>
            <w:tcW w:w="1040" w:type="dxa"/>
            <w:vMerge w:val="continue"/>
          </w:tcPr>
          <w:p w14:paraId="3E5A9B2B">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26C82DD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过程管理</w:t>
            </w:r>
          </w:p>
        </w:tc>
        <w:tc>
          <w:tcPr>
            <w:tcW w:w="4003" w:type="dxa"/>
            <w:shd w:val="clear" w:color="auto" w:fill="auto"/>
            <w:vAlign w:val="center"/>
          </w:tcPr>
          <w:p w14:paraId="1F0C93B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w:t>
            </w:r>
            <w:r>
              <w:rPr>
                <w:rFonts w:hint="eastAsia" w:ascii="Times New Roman" w:hAnsi="Times New Roman" w:eastAsia="宋体" w:cs="Times New Roman"/>
                <w:b w:val="0"/>
                <w:bCs w:val="0"/>
                <w:sz w:val="24"/>
                <w:szCs w:val="24"/>
                <w:highlight w:val="none"/>
              </w:rPr>
              <w:t>跟踪项目的实时进度和风险监控。实现</w:t>
            </w:r>
            <w:r>
              <w:rPr>
                <w:rFonts w:hint="eastAsia" w:ascii="Times New Roman" w:hAnsi="Times New Roman" w:eastAsia="宋体" w:cs="Times New Roman"/>
                <w:b w:val="0"/>
                <w:bCs w:val="0"/>
                <w:sz w:val="24"/>
                <w:szCs w:val="24"/>
                <w:highlight w:val="none"/>
                <w:lang w:val="en-US" w:eastAsia="zh-CN"/>
              </w:rPr>
              <w:t>机构办人员</w:t>
            </w:r>
            <w:r>
              <w:rPr>
                <w:rFonts w:hint="eastAsia" w:ascii="Times New Roman" w:hAnsi="Times New Roman" w:eastAsia="宋体" w:cs="Times New Roman"/>
                <w:b w:val="0"/>
                <w:bCs w:val="0"/>
                <w:sz w:val="24"/>
                <w:szCs w:val="24"/>
                <w:highlight w:val="none"/>
              </w:rPr>
              <w:t>随时查看项目</w:t>
            </w:r>
            <w:r>
              <w:rPr>
                <w:rFonts w:hint="eastAsia" w:ascii="Times New Roman" w:hAnsi="Times New Roman" w:eastAsia="宋体" w:cs="Times New Roman"/>
                <w:b w:val="0"/>
                <w:bCs w:val="0"/>
                <w:sz w:val="24"/>
                <w:szCs w:val="24"/>
                <w:highlight w:val="none"/>
                <w:lang w:val="en-US" w:eastAsia="zh-CN"/>
              </w:rPr>
              <w:t>入组进度情况</w:t>
            </w:r>
            <w:r>
              <w:rPr>
                <w:rFonts w:hint="eastAsia" w:ascii="Times New Roman" w:hAnsi="Times New Roman" w:eastAsia="宋体" w:cs="Times New Roman"/>
                <w:b w:val="0"/>
                <w:bCs w:val="0"/>
                <w:sz w:val="24"/>
                <w:szCs w:val="24"/>
                <w:highlight w:val="none"/>
              </w:rPr>
              <w:t>、不良事件以及受试者访视的数据等</w:t>
            </w:r>
            <w:r>
              <w:rPr>
                <w:rFonts w:hint="eastAsia" w:ascii="Times New Roman" w:hAnsi="Times New Roman" w:eastAsia="宋体" w:cs="Times New Roman"/>
                <w:b w:val="0"/>
                <w:bCs w:val="0"/>
                <w:sz w:val="24"/>
                <w:szCs w:val="24"/>
                <w:highlight w:val="none"/>
                <w:lang w:eastAsia="zh-CN"/>
              </w:rPr>
              <w:t>。</w:t>
            </w:r>
          </w:p>
        </w:tc>
      </w:tr>
      <w:tr w14:paraId="73F4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46FD547B">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11</w:t>
            </w:r>
          </w:p>
        </w:tc>
        <w:tc>
          <w:tcPr>
            <w:tcW w:w="414" w:type="dxa"/>
            <w:vMerge w:val="continue"/>
          </w:tcPr>
          <w:p w14:paraId="4C1F3EB9">
            <w:pPr>
              <w:pStyle w:val="3"/>
              <w:numPr>
                <w:ilvl w:val="0"/>
                <w:numId w:val="0"/>
              </w:numPr>
              <w:ind w:right="291" w:rightChars="0"/>
              <w:rPr>
                <w:rFonts w:hint="eastAsia"/>
                <w:highlight w:val="none"/>
                <w:vertAlign w:val="baseline"/>
                <w:lang w:val="en-US" w:eastAsia="zh-CN"/>
              </w:rPr>
            </w:pPr>
          </w:p>
        </w:tc>
        <w:tc>
          <w:tcPr>
            <w:tcW w:w="902" w:type="dxa"/>
            <w:vMerge w:val="continue"/>
          </w:tcPr>
          <w:p w14:paraId="5BE2A0D5">
            <w:pPr>
              <w:pStyle w:val="3"/>
              <w:numPr>
                <w:ilvl w:val="0"/>
                <w:numId w:val="0"/>
              </w:numPr>
              <w:ind w:right="291" w:rightChars="0"/>
              <w:rPr>
                <w:rFonts w:hint="eastAsia"/>
                <w:highlight w:val="none"/>
                <w:vertAlign w:val="baseline"/>
                <w:lang w:val="en-US" w:eastAsia="zh-CN"/>
              </w:rPr>
            </w:pPr>
          </w:p>
        </w:tc>
        <w:tc>
          <w:tcPr>
            <w:tcW w:w="1040" w:type="dxa"/>
            <w:vMerge w:val="continue"/>
          </w:tcPr>
          <w:p w14:paraId="762FD5EF">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4BB994D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auto"/>
                <w:sz w:val="24"/>
                <w:szCs w:val="24"/>
                <w:highlight w:val="none"/>
                <w:u w:val="none"/>
                <w:lang w:val="en-US" w:eastAsia="zh-CN"/>
              </w:rPr>
              <w:t>项目变更管理</w:t>
            </w:r>
          </w:p>
        </w:tc>
        <w:tc>
          <w:tcPr>
            <w:tcW w:w="4003" w:type="dxa"/>
            <w:shd w:val="clear" w:color="auto" w:fill="auto"/>
            <w:vAlign w:val="center"/>
          </w:tcPr>
          <w:p w14:paraId="5B5B28BB">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highlight w:val="none"/>
                <w:lang w:val="en-US" w:eastAsia="zh"/>
                <w:woUserID w:val="2"/>
              </w:rPr>
            </w:pPr>
            <w:r>
              <w:rPr>
                <w:rFonts w:hint="eastAsia" w:ascii="Times New Roman" w:hAnsi="Times New Roman" w:eastAsia="宋体" w:cs="Times New Roman"/>
                <w:b w:val="0"/>
                <w:bCs w:val="0"/>
                <w:sz w:val="24"/>
                <w:szCs w:val="24"/>
                <w:highlight w:val="none"/>
                <w:lang w:val="en-US" w:eastAsia="zh"/>
                <w:woUserID w:val="2"/>
              </w:rPr>
              <w:t>支持研究者提交项目变更信息，管理人员根据变更内容及类型选择审查方式：备案、快审、会审。</w:t>
            </w:r>
          </w:p>
          <w:p w14:paraId="6EDCD99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highlight w:val="none"/>
                <w:lang w:val="en-US" w:eastAsia="zh-CN"/>
                <w:woUserID w:val="2"/>
              </w:rPr>
            </w:pPr>
            <w:r>
              <w:rPr>
                <w:rFonts w:hint="eastAsia" w:ascii="Times New Roman" w:hAnsi="Times New Roman" w:eastAsia="宋体" w:cs="Times New Roman"/>
                <w:b w:val="0"/>
                <w:bCs w:val="0"/>
                <w:sz w:val="24"/>
                <w:szCs w:val="24"/>
                <w:highlight w:val="none"/>
                <w:lang w:val="en-US" w:eastAsia="zh-CN"/>
                <w:woUserID w:val="2"/>
              </w:rPr>
              <w:t>支持对不同审查方式配置相应审查流程及表单。</w:t>
            </w:r>
          </w:p>
        </w:tc>
      </w:tr>
      <w:tr w14:paraId="2BFE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9D52979">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12</w:t>
            </w:r>
          </w:p>
        </w:tc>
        <w:tc>
          <w:tcPr>
            <w:tcW w:w="414" w:type="dxa"/>
            <w:vMerge w:val="continue"/>
          </w:tcPr>
          <w:p w14:paraId="51CE449B">
            <w:pPr>
              <w:pStyle w:val="3"/>
              <w:numPr>
                <w:ilvl w:val="0"/>
                <w:numId w:val="0"/>
              </w:numPr>
              <w:ind w:right="291" w:rightChars="0"/>
              <w:rPr>
                <w:rFonts w:hint="eastAsia"/>
                <w:highlight w:val="none"/>
                <w:vertAlign w:val="baseline"/>
                <w:lang w:val="en-US" w:eastAsia="zh-CN"/>
              </w:rPr>
            </w:pPr>
          </w:p>
        </w:tc>
        <w:tc>
          <w:tcPr>
            <w:tcW w:w="902" w:type="dxa"/>
            <w:vMerge w:val="continue"/>
          </w:tcPr>
          <w:p w14:paraId="59F5B8E2">
            <w:pPr>
              <w:pStyle w:val="3"/>
              <w:numPr>
                <w:ilvl w:val="0"/>
                <w:numId w:val="0"/>
              </w:numPr>
              <w:ind w:right="291" w:rightChars="0"/>
              <w:rPr>
                <w:rFonts w:hint="eastAsia"/>
                <w:highlight w:val="none"/>
                <w:vertAlign w:val="baseline"/>
                <w:lang w:val="en-US" w:eastAsia="zh-CN"/>
              </w:rPr>
            </w:pPr>
          </w:p>
        </w:tc>
        <w:tc>
          <w:tcPr>
            <w:tcW w:w="1040" w:type="dxa"/>
            <w:vMerge w:val="continue"/>
          </w:tcPr>
          <w:p w14:paraId="0117D7B2">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0A2B038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结题管理</w:t>
            </w:r>
          </w:p>
        </w:tc>
        <w:tc>
          <w:tcPr>
            <w:tcW w:w="4003" w:type="dxa"/>
            <w:shd w:val="clear" w:color="auto" w:fill="auto"/>
            <w:vAlign w:val="center"/>
          </w:tcPr>
          <w:p w14:paraId="4837A6BB">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支持根据</w:t>
            </w:r>
            <w:r>
              <w:rPr>
                <w:rFonts w:hint="eastAsia" w:ascii="Times New Roman" w:hAnsi="Times New Roman" w:eastAsia="宋体" w:cs="Times New Roman"/>
                <w:b w:val="0"/>
                <w:bCs w:val="0"/>
                <w:sz w:val="24"/>
                <w:szCs w:val="24"/>
                <w:highlight w:val="none"/>
              </w:rPr>
              <w:t>医院管理要求配置不同的材料模板，</w:t>
            </w:r>
            <w:r>
              <w:rPr>
                <w:rFonts w:hint="eastAsia" w:ascii="Times New Roman" w:hAnsi="Times New Roman" w:eastAsia="宋体" w:cs="Times New Roman"/>
                <w:b w:val="0"/>
                <w:bCs w:val="0"/>
                <w:sz w:val="24"/>
                <w:szCs w:val="24"/>
                <w:highlight w:val="none"/>
                <w:lang w:eastAsia="zh-CN"/>
              </w:rPr>
              <w:t>支持申办方</w:t>
            </w:r>
            <w:r>
              <w:rPr>
                <w:rFonts w:hint="eastAsia" w:ascii="Times New Roman" w:hAnsi="Times New Roman" w:eastAsia="宋体" w:cs="Times New Roman"/>
                <w:b w:val="0"/>
                <w:bCs w:val="0"/>
                <w:sz w:val="24"/>
                <w:szCs w:val="24"/>
                <w:highlight w:val="none"/>
              </w:rPr>
              <w:t>提交项目结题</w:t>
            </w:r>
            <w:r>
              <w:rPr>
                <w:rFonts w:hint="eastAsia" w:ascii="Times New Roman" w:hAnsi="Times New Roman" w:eastAsia="宋体" w:cs="Times New Roman"/>
                <w:b w:val="0"/>
                <w:bCs w:val="0"/>
                <w:sz w:val="24"/>
                <w:szCs w:val="24"/>
                <w:highlight w:val="none"/>
                <w:lang w:val="en-US" w:eastAsia="zh-CN"/>
              </w:rPr>
              <w:t>申请，同时支持提交项目</w:t>
            </w:r>
            <w:r>
              <w:rPr>
                <w:rFonts w:hint="eastAsia" w:ascii="Times New Roman" w:hAnsi="Times New Roman" w:eastAsia="宋体" w:cs="Times New Roman"/>
                <w:b w:val="0"/>
                <w:bCs w:val="0"/>
                <w:sz w:val="24"/>
                <w:szCs w:val="24"/>
                <w:highlight w:val="none"/>
              </w:rPr>
              <w:t>暂停</w:t>
            </w:r>
            <w:r>
              <w:rPr>
                <w:rFonts w:hint="eastAsia" w:ascii="Times New Roman" w:hAnsi="Times New Roman" w:eastAsia="宋体" w:cs="Times New Roman"/>
                <w:b w:val="0"/>
                <w:bCs w:val="0"/>
                <w:sz w:val="24"/>
                <w:szCs w:val="24"/>
                <w:highlight w:val="none"/>
                <w:lang w:val="en-US" w:eastAsia="zh-CN"/>
              </w:rPr>
              <w:t>/终止</w:t>
            </w:r>
            <w:r>
              <w:rPr>
                <w:rFonts w:hint="eastAsia" w:ascii="Times New Roman" w:hAnsi="Times New Roman" w:eastAsia="宋体" w:cs="Times New Roman"/>
                <w:b w:val="0"/>
                <w:bCs w:val="0"/>
                <w:sz w:val="24"/>
                <w:szCs w:val="24"/>
                <w:highlight w:val="none"/>
              </w:rPr>
              <w:t>申请</w:t>
            </w:r>
            <w:r>
              <w:rPr>
                <w:rFonts w:hint="eastAsia" w:ascii="Times New Roman" w:hAnsi="Times New Roman" w:eastAsia="宋体" w:cs="Times New Roman"/>
                <w:b w:val="0"/>
                <w:bCs w:val="0"/>
                <w:sz w:val="24"/>
                <w:szCs w:val="24"/>
                <w:highlight w:val="none"/>
                <w:lang w:eastAsia="zh-CN"/>
              </w:rPr>
              <w:t>。</w:t>
            </w:r>
          </w:p>
        </w:tc>
      </w:tr>
      <w:tr w14:paraId="2939F9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5D67F82F">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13</w:t>
            </w:r>
          </w:p>
        </w:tc>
        <w:tc>
          <w:tcPr>
            <w:tcW w:w="414" w:type="dxa"/>
            <w:vMerge w:val="continue"/>
          </w:tcPr>
          <w:p w14:paraId="29EF5801">
            <w:pPr>
              <w:pStyle w:val="3"/>
              <w:numPr>
                <w:ilvl w:val="0"/>
                <w:numId w:val="0"/>
              </w:numPr>
              <w:ind w:right="291" w:rightChars="0"/>
              <w:rPr>
                <w:rFonts w:hint="eastAsia"/>
                <w:highlight w:val="none"/>
                <w:vertAlign w:val="baseline"/>
                <w:lang w:val="en-US" w:eastAsia="zh-CN"/>
              </w:rPr>
            </w:pPr>
          </w:p>
        </w:tc>
        <w:tc>
          <w:tcPr>
            <w:tcW w:w="902" w:type="dxa"/>
            <w:vMerge w:val="continue"/>
          </w:tcPr>
          <w:p w14:paraId="78292E53">
            <w:pPr>
              <w:pStyle w:val="3"/>
              <w:numPr>
                <w:ilvl w:val="0"/>
                <w:numId w:val="0"/>
              </w:numPr>
              <w:ind w:right="291" w:rightChars="0"/>
              <w:rPr>
                <w:rFonts w:hint="eastAsia"/>
                <w:highlight w:val="none"/>
                <w:vertAlign w:val="baseline"/>
                <w:lang w:val="en-US" w:eastAsia="zh-CN"/>
              </w:rPr>
            </w:pPr>
          </w:p>
        </w:tc>
        <w:tc>
          <w:tcPr>
            <w:tcW w:w="1040" w:type="dxa"/>
            <w:vMerge w:val="continue"/>
          </w:tcPr>
          <w:p w14:paraId="6E49C31E">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0BD6A9F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归档管理</w:t>
            </w:r>
          </w:p>
        </w:tc>
        <w:tc>
          <w:tcPr>
            <w:tcW w:w="4003" w:type="dxa"/>
            <w:shd w:val="clear" w:color="auto" w:fill="auto"/>
            <w:vAlign w:val="center"/>
          </w:tcPr>
          <w:p w14:paraId="23B1046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支持按照机构SOP配置</w:t>
            </w:r>
            <w:r>
              <w:rPr>
                <w:rFonts w:hint="eastAsia" w:ascii="Times New Roman" w:hAnsi="Times New Roman" w:eastAsia="宋体" w:cs="Times New Roman"/>
                <w:b w:val="0"/>
                <w:bCs w:val="0"/>
                <w:sz w:val="24"/>
                <w:szCs w:val="24"/>
                <w:highlight w:val="none"/>
              </w:rPr>
              <w:t>归档文件目录</w:t>
            </w:r>
            <w:r>
              <w:rPr>
                <w:rFonts w:hint="eastAsia" w:ascii="Times New Roman" w:hAnsi="Times New Roman" w:eastAsia="宋体" w:cs="Times New Roman"/>
                <w:b w:val="0"/>
                <w:bCs w:val="0"/>
                <w:sz w:val="24"/>
                <w:szCs w:val="24"/>
                <w:highlight w:val="none"/>
                <w:lang w:eastAsia="zh-CN"/>
              </w:rPr>
              <w:t>，申办方</w:t>
            </w:r>
            <w:r>
              <w:rPr>
                <w:rFonts w:hint="eastAsia" w:ascii="Times New Roman" w:hAnsi="Times New Roman" w:eastAsia="宋体" w:cs="Times New Roman"/>
                <w:b w:val="0"/>
                <w:bCs w:val="0"/>
                <w:sz w:val="24"/>
                <w:szCs w:val="24"/>
                <w:highlight w:val="none"/>
              </w:rPr>
              <w:t>提交</w:t>
            </w:r>
            <w:r>
              <w:rPr>
                <w:rFonts w:hint="eastAsia" w:ascii="Times New Roman" w:hAnsi="Times New Roman" w:eastAsia="宋体" w:cs="Times New Roman"/>
                <w:b w:val="0"/>
                <w:bCs w:val="0"/>
                <w:sz w:val="24"/>
                <w:szCs w:val="24"/>
                <w:highlight w:val="none"/>
                <w:lang w:val="en-US" w:eastAsia="zh-CN"/>
              </w:rPr>
              <w:t>相应材料。</w:t>
            </w:r>
          </w:p>
          <w:p w14:paraId="187313D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w:t>
            </w:r>
            <w:r>
              <w:rPr>
                <w:rFonts w:hint="eastAsia" w:ascii="Times New Roman" w:hAnsi="Times New Roman" w:eastAsia="宋体" w:cs="Times New Roman"/>
                <w:b w:val="0"/>
                <w:bCs w:val="0"/>
                <w:sz w:val="24"/>
                <w:szCs w:val="24"/>
                <w:highlight w:val="none"/>
              </w:rPr>
              <w:t>补充上传归档资料。</w:t>
            </w:r>
          </w:p>
        </w:tc>
      </w:tr>
      <w:tr w14:paraId="76BC0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20" w:type="dxa"/>
          </w:tcPr>
          <w:p w14:paraId="0559F2F8">
            <w:pPr>
              <w:pStyle w:val="3"/>
              <w:numPr>
                <w:ilvl w:val="0"/>
                <w:numId w:val="0"/>
              </w:numPr>
              <w:ind w:right="291" w:rightChars="0"/>
              <w:rPr>
                <w:rFonts w:hint="eastAsia"/>
                <w:highlight w:val="none"/>
                <w:vertAlign w:val="baseline"/>
                <w:lang w:val="en-US" w:eastAsia="zh-CN"/>
              </w:rPr>
            </w:pPr>
            <w:r>
              <w:rPr>
                <w:rFonts w:hint="eastAsia"/>
                <w:highlight w:val="none"/>
                <w:vertAlign w:val="baseline"/>
                <w:lang w:val="en-US" w:eastAsia="zh-CN"/>
              </w:rPr>
              <w:t>14</w:t>
            </w:r>
          </w:p>
          <w:p w14:paraId="16FD4C4B">
            <w:pPr>
              <w:pStyle w:val="3"/>
              <w:numPr>
                <w:ilvl w:val="0"/>
                <w:numId w:val="0"/>
              </w:numPr>
              <w:ind w:right="291" w:rightChars="0"/>
              <w:rPr>
                <w:rFonts w:hint="default"/>
                <w:highlight w:val="none"/>
                <w:vertAlign w:val="baseline"/>
                <w:lang w:val="en-US" w:eastAsia="zh-CN"/>
              </w:rPr>
            </w:pPr>
          </w:p>
        </w:tc>
        <w:tc>
          <w:tcPr>
            <w:tcW w:w="414" w:type="dxa"/>
            <w:vMerge w:val="continue"/>
          </w:tcPr>
          <w:p w14:paraId="3A35012C">
            <w:pPr>
              <w:pStyle w:val="3"/>
              <w:numPr>
                <w:ilvl w:val="0"/>
                <w:numId w:val="0"/>
              </w:numPr>
              <w:ind w:right="291" w:rightChars="0"/>
              <w:rPr>
                <w:rFonts w:hint="eastAsia"/>
                <w:highlight w:val="none"/>
                <w:vertAlign w:val="baseline"/>
                <w:lang w:val="en-US" w:eastAsia="zh-CN"/>
              </w:rPr>
            </w:pPr>
          </w:p>
        </w:tc>
        <w:tc>
          <w:tcPr>
            <w:tcW w:w="902" w:type="dxa"/>
            <w:vMerge w:val="continue"/>
          </w:tcPr>
          <w:p w14:paraId="4DBC3D95">
            <w:pPr>
              <w:pStyle w:val="3"/>
              <w:numPr>
                <w:ilvl w:val="0"/>
                <w:numId w:val="0"/>
              </w:numPr>
              <w:ind w:right="291" w:rightChars="0"/>
              <w:rPr>
                <w:rFonts w:hint="eastAsia"/>
                <w:highlight w:val="none"/>
                <w:vertAlign w:val="baseline"/>
                <w:lang w:val="en-US" w:eastAsia="zh-CN"/>
              </w:rPr>
            </w:pPr>
          </w:p>
        </w:tc>
        <w:tc>
          <w:tcPr>
            <w:tcW w:w="1040" w:type="dxa"/>
            <w:vMerge w:val="continue"/>
          </w:tcPr>
          <w:p w14:paraId="1641A1D9">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4CB169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档案管理</w:t>
            </w:r>
          </w:p>
        </w:tc>
        <w:tc>
          <w:tcPr>
            <w:tcW w:w="4003" w:type="dxa"/>
            <w:shd w:val="clear" w:color="auto" w:fill="auto"/>
            <w:vAlign w:val="center"/>
          </w:tcPr>
          <w:p w14:paraId="3860AF5A">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lang w:val="en-US" w:eastAsia="zh-CN"/>
              </w:rPr>
              <w:t>建立以项目为单位的</w:t>
            </w:r>
            <w:r>
              <w:rPr>
                <w:rFonts w:hint="eastAsia" w:ascii="Times New Roman" w:hAnsi="Times New Roman" w:eastAsia="宋体" w:cs="Times New Roman"/>
                <w:b w:val="0"/>
                <w:bCs w:val="0"/>
                <w:sz w:val="24"/>
                <w:szCs w:val="24"/>
                <w:highlight w:val="none"/>
              </w:rPr>
              <w:t>全流程文件的电子化、可视化</w:t>
            </w:r>
            <w:r>
              <w:rPr>
                <w:rFonts w:hint="eastAsia" w:ascii="Times New Roman" w:hAnsi="Times New Roman" w:eastAsia="宋体" w:cs="Times New Roman"/>
                <w:b w:val="0"/>
                <w:bCs w:val="0"/>
                <w:sz w:val="24"/>
                <w:szCs w:val="24"/>
                <w:highlight w:val="none"/>
                <w:lang w:val="en-US" w:eastAsia="zh-CN"/>
              </w:rPr>
              <w:t>的档案</w:t>
            </w:r>
            <w:r>
              <w:rPr>
                <w:rFonts w:hint="eastAsia" w:ascii="Times New Roman" w:hAnsi="Times New Roman" w:eastAsia="宋体" w:cs="Times New Roman"/>
                <w:b w:val="0"/>
                <w:bCs w:val="0"/>
                <w:sz w:val="24"/>
                <w:szCs w:val="24"/>
                <w:highlight w:val="none"/>
              </w:rPr>
              <w:t>管理，</w:t>
            </w:r>
            <w:r>
              <w:rPr>
                <w:rFonts w:hint="eastAsia" w:ascii="Times New Roman" w:hAnsi="Times New Roman" w:eastAsia="宋体" w:cs="Times New Roman"/>
                <w:b w:val="0"/>
                <w:bCs w:val="0"/>
                <w:sz w:val="24"/>
                <w:szCs w:val="24"/>
                <w:highlight w:val="none"/>
                <w:lang w:val="en-US" w:eastAsia="zh-CN"/>
              </w:rPr>
              <w:t>支持设置纸质</w:t>
            </w:r>
            <w:r>
              <w:rPr>
                <w:rFonts w:hint="eastAsia" w:ascii="Times New Roman" w:hAnsi="Times New Roman" w:eastAsia="宋体" w:cs="Times New Roman"/>
                <w:b w:val="0"/>
                <w:bCs w:val="0"/>
                <w:sz w:val="24"/>
                <w:szCs w:val="24"/>
                <w:highlight w:val="none"/>
              </w:rPr>
              <w:t>档案存储期限和到期提醒。</w:t>
            </w:r>
          </w:p>
          <w:p w14:paraId="049B232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支持维护档案存放地点及柜位等信息。</w:t>
            </w:r>
          </w:p>
        </w:tc>
      </w:tr>
      <w:tr w14:paraId="12A59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20" w:type="dxa"/>
          </w:tcPr>
          <w:p w14:paraId="43AE33E1">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15</w:t>
            </w:r>
          </w:p>
        </w:tc>
        <w:tc>
          <w:tcPr>
            <w:tcW w:w="414" w:type="dxa"/>
            <w:vMerge w:val="continue"/>
          </w:tcPr>
          <w:p w14:paraId="3973F9C8">
            <w:pPr>
              <w:pStyle w:val="3"/>
              <w:numPr>
                <w:ilvl w:val="0"/>
                <w:numId w:val="0"/>
              </w:numPr>
              <w:ind w:right="291" w:rightChars="0"/>
              <w:rPr>
                <w:rFonts w:hint="eastAsia"/>
                <w:highlight w:val="none"/>
                <w:vertAlign w:val="baseline"/>
                <w:lang w:val="en-US" w:eastAsia="zh-CN"/>
              </w:rPr>
            </w:pPr>
          </w:p>
        </w:tc>
        <w:tc>
          <w:tcPr>
            <w:tcW w:w="902" w:type="dxa"/>
            <w:vMerge w:val="continue"/>
          </w:tcPr>
          <w:p w14:paraId="679398C6">
            <w:pPr>
              <w:pStyle w:val="3"/>
              <w:numPr>
                <w:ilvl w:val="0"/>
                <w:numId w:val="0"/>
              </w:numPr>
              <w:ind w:right="291" w:rightChars="0"/>
              <w:rPr>
                <w:rFonts w:hint="eastAsia"/>
                <w:highlight w:val="none"/>
                <w:vertAlign w:val="baseline"/>
                <w:lang w:val="en-US" w:eastAsia="zh-CN"/>
              </w:rPr>
            </w:pPr>
          </w:p>
        </w:tc>
        <w:tc>
          <w:tcPr>
            <w:tcW w:w="1040" w:type="dxa"/>
            <w:vMerge w:val="continue"/>
          </w:tcPr>
          <w:p w14:paraId="4025FF58">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3C22763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历史数据导入</w:t>
            </w:r>
          </w:p>
        </w:tc>
        <w:tc>
          <w:tcPr>
            <w:tcW w:w="4003" w:type="dxa"/>
            <w:shd w:val="clear" w:color="auto" w:fill="auto"/>
            <w:vAlign w:val="center"/>
          </w:tcPr>
          <w:p w14:paraId="7AE09245">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支持对历史项目信息进行导入维护，保证历史项目新增受试者及新增流程可以正常使用。</w:t>
            </w:r>
          </w:p>
        </w:tc>
      </w:tr>
      <w:tr w14:paraId="5FD72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9" w:hRule="atLeast"/>
        </w:trPr>
        <w:tc>
          <w:tcPr>
            <w:tcW w:w="720" w:type="dxa"/>
          </w:tcPr>
          <w:p w14:paraId="570CB9BB">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16</w:t>
            </w:r>
          </w:p>
        </w:tc>
        <w:tc>
          <w:tcPr>
            <w:tcW w:w="414" w:type="dxa"/>
            <w:vMerge w:val="continue"/>
          </w:tcPr>
          <w:p w14:paraId="275447BE">
            <w:pPr>
              <w:pStyle w:val="3"/>
              <w:numPr>
                <w:ilvl w:val="0"/>
                <w:numId w:val="0"/>
              </w:numPr>
              <w:ind w:right="291" w:rightChars="0"/>
              <w:rPr>
                <w:rFonts w:hint="eastAsia"/>
                <w:highlight w:val="none"/>
                <w:vertAlign w:val="baseline"/>
                <w:lang w:val="en-US" w:eastAsia="zh-CN"/>
              </w:rPr>
            </w:pPr>
          </w:p>
        </w:tc>
        <w:tc>
          <w:tcPr>
            <w:tcW w:w="902" w:type="dxa"/>
            <w:vMerge w:val="continue"/>
          </w:tcPr>
          <w:p w14:paraId="27C3E686">
            <w:pPr>
              <w:pStyle w:val="3"/>
              <w:numPr>
                <w:ilvl w:val="0"/>
                <w:numId w:val="0"/>
              </w:numPr>
              <w:ind w:right="291" w:rightChars="0"/>
              <w:rPr>
                <w:rFonts w:hint="eastAsia"/>
                <w:highlight w:val="none"/>
                <w:vertAlign w:val="baseline"/>
                <w:lang w:val="en-US" w:eastAsia="zh-CN"/>
              </w:rPr>
            </w:pPr>
          </w:p>
        </w:tc>
        <w:tc>
          <w:tcPr>
            <w:tcW w:w="1040" w:type="dxa"/>
            <w:shd w:val="clear" w:color="auto" w:fill="auto"/>
            <w:vAlign w:val="center"/>
          </w:tcPr>
          <w:p w14:paraId="484083C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项目查询与统计</w:t>
            </w:r>
          </w:p>
        </w:tc>
        <w:tc>
          <w:tcPr>
            <w:tcW w:w="1721" w:type="dxa"/>
            <w:shd w:val="clear" w:color="auto" w:fill="auto"/>
            <w:vAlign w:val="center"/>
          </w:tcPr>
          <w:p w14:paraId="2BFA889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项目查询与统计</w:t>
            </w:r>
          </w:p>
        </w:tc>
        <w:tc>
          <w:tcPr>
            <w:tcW w:w="4003" w:type="dxa"/>
            <w:shd w:val="clear" w:color="auto" w:fill="auto"/>
            <w:vAlign w:val="center"/>
          </w:tcPr>
          <w:p w14:paraId="25A02915">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firstLine="0" w:firstLineChars="0"/>
              <w:jc w:val="left"/>
              <w:textAlignment w:val="auto"/>
              <w:outlineLvl w:val="4"/>
              <w:rPr>
                <w:rFonts w:hint="eastAsia" w:ascii="Times New Roman" w:hAnsi="Times New Roman" w:eastAsia="宋体" w:cs="Times New Roman"/>
                <w:b w:val="0"/>
                <w:bCs w:val="0"/>
                <w:color w:val="auto"/>
                <w:kern w:val="0"/>
                <w:sz w:val="24"/>
                <w:szCs w:val="24"/>
                <w:highlight w:val="none"/>
                <w:lang w:val="en-US" w:eastAsia="zh-CN"/>
              </w:rPr>
            </w:pPr>
            <w:r>
              <w:rPr>
                <w:rFonts w:hint="eastAsia" w:ascii="Times New Roman" w:hAnsi="Times New Roman" w:eastAsia="宋体" w:cs="Times New Roman"/>
                <w:b w:val="0"/>
                <w:bCs w:val="0"/>
                <w:color w:val="auto"/>
                <w:kern w:val="0"/>
                <w:sz w:val="24"/>
                <w:szCs w:val="24"/>
                <w:highlight w:val="none"/>
                <w:lang w:val="en-US" w:eastAsia="zh-CN"/>
              </w:rPr>
              <w:t>支持按照项目名称、科室、PI、项目进度、项目类别</w:t>
            </w:r>
            <w:r>
              <w:rPr>
                <w:rFonts w:hint="eastAsia" w:ascii="Times New Roman" w:hAnsi="Times New Roman" w:eastAsia="宋体" w:cs="Times New Roman"/>
                <w:b w:val="0"/>
                <w:bCs w:val="0"/>
                <w:color w:val="auto"/>
                <w:kern w:val="0"/>
                <w:sz w:val="24"/>
                <w:szCs w:val="24"/>
                <w:highlight w:val="none"/>
                <w:lang w:val="en-US" w:eastAsia="zh"/>
                <w:woUserID w:val="4"/>
              </w:rPr>
              <w:t>、项目来源</w:t>
            </w:r>
            <w:r>
              <w:rPr>
                <w:rFonts w:hint="eastAsia" w:ascii="Times New Roman" w:hAnsi="Times New Roman" w:eastAsia="宋体" w:cs="Times New Roman"/>
                <w:b w:val="0"/>
                <w:bCs w:val="0"/>
                <w:color w:val="auto"/>
                <w:kern w:val="0"/>
                <w:sz w:val="24"/>
                <w:szCs w:val="24"/>
                <w:highlight w:val="none"/>
                <w:lang w:val="en-US" w:eastAsia="zh-CN"/>
              </w:rPr>
              <w:t>等进行查询。</w:t>
            </w:r>
          </w:p>
          <w:p w14:paraId="383F8758">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color w:val="auto"/>
                <w:kern w:val="0"/>
                <w:sz w:val="24"/>
                <w:szCs w:val="24"/>
                <w:highlight w:val="none"/>
                <w:lang w:val="en-US" w:eastAsia="zh-CN" w:bidi="ar-SA"/>
                <w:woUserID w:val="4"/>
              </w:rPr>
            </w:pPr>
            <w:r>
              <w:rPr>
                <w:rFonts w:hint="eastAsia" w:ascii="Times New Roman" w:hAnsi="Times New Roman" w:eastAsia="宋体" w:cs="Times New Roman"/>
                <w:b w:val="0"/>
                <w:bCs w:val="0"/>
                <w:color w:val="auto"/>
                <w:kern w:val="0"/>
                <w:sz w:val="24"/>
                <w:szCs w:val="24"/>
                <w:highlight w:val="none"/>
                <w:lang w:val="en-US" w:eastAsia="zh"/>
                <w:woUserID w:val="4"/>
              </w:rPr>
              <w:t>能够生成项目报表，包括在研项目数、</w:t>
            </w:r>
            <w:r>
              <w:rPr>
                <w:rFonts w:hint="eastAsia" w:ascii="Times New Roman" w:hAnsi="Times New Roman" w:eastAsia="宋体" w:cs="Times New Roman"/>
                <w:b w:val="0"/>
                <w:bCs w:val="0"/>
                <w:color w:val="auto"/>
                <w:kern w:val="0"/>
                <w:sz w:val="24"/>
                <w:szCs w:val="24"/>
                <w:highlight w:val="none"/>
                <w:lang w:val="en-US" w:eastAsia="zh-CN"/>
                <w:woUserID w:val="4"/>
              </w:rPr>
              <w:t>各适应症项目数、</w:t>
            </w:r>
            <w:r>
              <w:rPr>
                <w:rFonts w:hint="eastAsia" w:ascii="Times New Roman" w:hAnsi="Times New Roman" w:eastAsia="宋体" w:cs="Times New Roman"/>
                <w:b w:val="0"/>
                <w:bCs w:val="0"/>
                <w:color w:val="auto"/>
                <w:kern w:val="0"/>
                <w:sz w:val="24"/>
                <w:szCs w:val="24"/>
                <w:highlight w:val="none"/>
                <w:lang w:val="en-US" w:eastAsia="zh"/>
                <w:woUserID w:val="4"/>
              </w:rPr>
              <w:t>年增长趋势等</w:t>
            </w:r>
            <w:r>
              <w:rPr>
                <w:rFonts w:hint="eastAsia" w:ascii="Times New Roman" w:hAnsi="Times New Roman" w:eastAsia="宋体" w:cs="Times New Roman"/>
                <w:b w:val="0"/>
                <w:bCs w:val="0"/>
                <w:color w:val="auto"/>
                <w:kern w:val="0"/>
                <w:sz w:val="24"/>
                <w:szCs w:val="24"/>
                <w:highlight w:val="none"/>
                <w:lang w:val="en-US" w:eastAsia="zh-CN"/>
                <w:woUserID w:val="4"/>
              </w:rPr>
              <w:t>各维度项目统计分析</w:t>
            </w:r>
            <w:r>
              <w:rPr>
                <w:rFonts w:hint="eastAsia" w:ascii="Times New Roman" w:hAnsi="Times New Roman" w:eastAsia="宋体" w:cs="Times New Roman"/>
                <w:b w:val="0"/>
                <w:bCs w:val="0"/>
                <w:color w:val="auto"/>
                <w:kern w:val="0"/>
                <w:sz w:val="24"/>
                <w:szCs w:val="24"/>
                <w:highlight w:val="none"/>
                <w:lang w:val="en-US" w:eastAsia="zh"/>
                <w:woUserID w:val="4"/>
              </w:rPr>
              <w:t>。</w:t>
            </w:r>
          </w:p>
        </w:tc>
      </w:tr>
      <w:tr w14:paraId="21721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B8D0317">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17</w:t>
            </w:r>
          </w:p>
        </w:tc>
        <w:tc>
          <w:tcPr>
            <w:tcW w:w="414" w:type="dxa"/>
            <w:vMerge w:val="continue"/>
          </w:tcPr>
          <w:p w14:paraId="76F7DC85">
            <w:pPr>
              <w:pStyle w:val="3"/>
              <w:numPr>
                <w:ilvl w:val="0"/>
                <w:numId w:val="0"/>
              </w:numPr>
              <w:ind w:right="291" w:rightChars="0"/>
              <w:rPr>
                <w:rFonts w:hint="eastAsia"/>
                <w:highlight w:val="none"/>
                <w:vertAlign w:val="baseline"/>
                <w:lang w:val="en-US" w:eastAsia="zh-CN"/>
              </w:rPr>
            </w:pPr>
          </w:p>
        </w:tc>
        <w:tc>
          <w:tcPr>
            <w:tcW w:w="902" w:type="dxa"/>
            <w:vMerge w:val="continue"/>
          </w:tcPr>
          <w:p w14:paraId="0EB02CCD">
            <w:pPr>
              <w:pStyle w:val="3"/>
              <w:numPr>
                <w:ilvl w:val="0"/>
                <w:numId w:val="0"/>
              </w:numPr>
              <w:ind w:right="291" w:rightChars="0"/>
              <w:rPr>
                <w:rFonts w:hint="eastAsia"/>
                <w:highlight w:val="none"/>
                <w:vertAlign w:val="baseline"/>
                <w:lang w:val="en-US" w:eastAsia="zh-CN"/>
              </w:rPr>
            </w:pPr>
          </w:p>
        </w:tc>
        <w:tc>
          <w:tcPr>
            <w:tcW w:w="1040" w:type="dxa"/>
            <w:vMerge w:val="restart"/>
          </w:tcPr>
          <w:p w14:paraId="4215580F">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合同管理</w:t>
            </w:r>
          </w:p>
        </w:tc>
        <w:tc>
          <w:tcPr>
            <w:tcW w:w="1721" w:type="dxa"/>
            <w:shd w:val="clear" w:color="auto" w:fill="auto"/>
            <w:vAlign w:val="center"/>
          </w:tcPr>
          <w:p w14:paraId="7699B13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合同审查</w:t>
            </w:r>
          </w:p>
        </w:tc>
        <w:tc>
          <w:tcPr>
            <w:tcW w:w="4003" w:type="dxa"/>
            <w:shd w:val="clear" w:color="auto" w:fill="auto"/>
            <w:vAlign w:val="center"/>
          </w:tcPr>
          <w:p w14:paraId="3B5AB780">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实现</w:t>
            </w:r>
            <w:r>
              <w:rPr>
                <w:rFonts w:hint="eastAsia" w:ascii="Times New Roman" w:hAnsi="Times New Roman" w:eastAsia="宋体" w:cs="Times New Roman"/>
                <w:b w:val="0"/>
                <w:bCs w:val="0"/>
                <w:sz w:val="24"/>
                <w:szCs w:val="24"/>
                <w:highlight w:val="none"/>
              </w:rPr>
              <w:t>合同</w:t>
            </w:r>
            <w:r>
              <w:rPr>
                <w:rFonts w:hint="eastAsia" w:ascii="Times New Roman" w:hAnsi="Times New Roman" w:eastAsia="宋体" w:cs="Times New Roman"/>
                <w:b w:val="0"/>
                <w:bCs w:val="0"/>
                <w:sz w:val="24"/>
                <w:szCs w:val="24"/>
                <w:highlight w:val="none"/>
                <w:lang w:val="en-US" w:eastAsia="zh-CN"/>
              </w:rPr>
              <w:t>新增、合同审批管理，支持</w:t>
            </w:r>
            <w:r>
              <w:rPr>
                <w:rFonts w:hint="eastAsia" w:ascii="Times New Roman" w:hAnsi="Times New Roman" w:eastAsia="宋体" w:cs="Times New Roman"/>
                <w:b w:val="0"/>
                <w:bCs w:val="0"/>
                <w:sz w:val="24"/>
                <w:szCs w:val="24"/>
                <w:highlight w:val="none"/>
              </w:rPr>
              <w:t>主合同、SMO合同</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rPr>
              <w:t>补充合同等各类</w:t>
            </w:r>
            <w:r>
              <w:rPr>
                <w:rFonts w:hint="eastAsia" w:ascii="Times New Roman" w:hAnsi="Times New Roman" w:eastAsia="宋体" w:cs="Times New Roman"/>
                <w:b w:val="0"/>
                <w:bCs w:val="0"/>
                <w:sz w:val="24"/>
                <w:szCs w:val="24"/>
                <w:highlight w:val="none"/>
                <w:lang w:val="en-US" w:eastAsia="zh-CN"/>
              </w:rPr>
              <w:t>合同的提交和审查</w:t>
            </w:r>
            <w:r>
              <w:rPr>
                <w:rFonts w:hint="eastAsia" w:ascii="Times New Roman" w:hAnsi="Times New Roman" w:eastAsia="宋体" w:cs="Times New Roman"/>
                <w:b w:val="0"/>
                <w:bCs w:val="0"/>
                <w:sz w:val="24"/>
                <w:szCs w:val="24"/>
                <w:highlight w:val="none"/>
              </w:rPr>
              <w:t>管理，支持按照科室和项目查询合同</w:t>
            </w:r>
            <w:r>
              <w:rPr>
                <w:rFonts w:hint="eastAsia" w:ascii="Times New Roman" w:hAnsi="Times New Roman" w:eastAsia="宋体" w:cs="Times New Roman"/>
                <w:b w:val="0"/>
                <w:bCs w:val="0"/>
                <w:sz w:val="24"/>
                <w:szCs w:val="24"/>
                <w:highlight w:val="none"/>
                <w:lang w:eastAsia="zh-CN"/>
              </w:rPr>
              <w:t>。</w:t>
            </w:r>
          </w:p>
        </w:tc>
      </w:tr>
      <w:tr w14:paraId="504A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20" w:type="dxa"/>
          </w:tcPr>
          <w:p w14:paraId="124A13D6">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18</w:t>
            </w:r>
          </w:p>
        </w:tc>
        <w:tc>
          <w:tcPr>
            <w:tcW w:w="414" w:type="dxa"/>
            <w:vMerge w:val="continue"/>
          </w:tcPr>
          <w:p w14:paraId="5D16079F">
            <w:pPr>
              <w:pStyle w:val="3"/>
              <w:numPr>
                <w:ilvl w:val="0"/>
                <w:numId w:val="0"/>
              </w:numPr>
              <w:ind w:right="291" w:rightChars="0"/>
              <w:rPr>
                <w:rFonts w:hint="eastAsia"/>
                <w:highlight w:val="none"/>
                <w:vertAlign w:val="baseline"/>
                <w:lang w:val="en-US" w:eastAsia="zh-CN"/>
              </w:rPr>
            </w:pPr>
          </w:p>
        </w:tc>
        <w:tc>
          <w:tcPr>
            <w:tcW w:w="902" w:type="dxa"/>
            <w:vMerge w:val="continue"/>
          </w:tcPr>
          <w:p w14:paraId="205F5946">
            <w:pPr>
              <w:pStyle w:val="3"/>
              <w:numPr>
                <w:ilvl w:val="0"/>
                <w:numId w:val="0"/>
              </w:numPr>
              <w:ind w:right="291" w:rightChars="0"/>
              <w:rPr>
                <w:rFonts w:hint="eastAsia"/>
                <w:highlight w:val="none"/>
                <w:vertAlign w:val="baseline"/>
                <w:lang w:val="en-US" w:eastAsia="zh-CN"/>
              </w:rPr>
            </w:pPr>
          </w:p>
        </w:tc>
        <w:tc>
          <w:tcPr>
            <w:tcW w:w="1040" w:type="dxa"/>
            <w:vMerge w:val="continue"/>
          </w:tcPr>
          <w:p w14:paraId="67E5010B">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1989208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合同终稿</w:t>
            </w:r>
          </w:p>
        </w:tc>
        <w:tc>
          <w:tcPr>
            <w:tcW w:w="4003" w:type="dxa"/>
            <w:shd w:val="clear" w:color="auto" w:fill="auto"/>
            <w:vAlign w:val="center"/>
          </w:tcPr>
          <w:p w14:paraId="3DE6EDD0">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rPr>
              <w:t>支持合同审核通过后填写签署信息，包括签署日期、上传盖章合同的扫描件</w:t>
            </w:r>
            <w:r>
              <w:rPr>
                <w:rFonts w:hint="eastAsia" w:ascii="Times New Roman" w:hAnsi="Times New Roman" w:eastAsia="宋体" w:cs="Times New Roman"/>
                <w:b w:val="0"/>
                <w:bCs w:val="0"/>
                <w:kern w:val="2"/>
                <w:sz w:val="24"/>
                <w:szCs w:val="24"/>
                <w:highlight w:val="none"/>
                <w:lang w:val="en-US" w:eastAsia="zh-CN"/>
              </w:rPr>
              <w:t>、录入合同经费细项。</w:t>
            </w:r>
          </w:p>
        </w:tc>
      </w:tr>
      <w:tr w14:paraId="3FF98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23FE7DC5">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19</w:t>
            </w:r>
          </w:p>
        </w:tc>
        <w:tc>
          <w:tcPr>
            <w:tcW w:w="414" w:type="dxa"/>
            <w:vMerge w:val="continue"/>
          </w:tcPr>
          <w:p w14:paraId="777B769E">
            <w:pPr>
              <w:pStyle w:val="3"/>
              <w:numPr>
                <w:ilvl w:val="0"/>
                <w:numId w:val="0"/>
              </w:numPr>
              <w:ind w:right="291" w:rightChars="0"/>
              <w:rPr>
                <w:rFonts w:hint="eastAsia"/>
                <w:highlight w:val="none"/>
                <w:vertAlign w:val="baseline"/>
                <w:lang w:val="en-US" w:eastAsia="zh-CN"/>
              </w:rPr>
            </w:pPr>
          </w:p>
        </w:tc>
        <w:tc>
          <w:tcPr>
            <w:tcW w:w="902" w:type="dxa"/>
            <w:vMerge w:val="continue"/>
          </w:tcPr>
          <w:p w14:paraId="112E0D85">
            <w:pPr>
              <w:pStyle w:val="3"/>
              <w:numPr>
                <w:ilvl w:val="0"/>
                <w:numId w:val="0"/>
              </w:numPr>
              <w:ind w:right="291" w:rightChars="0"/>
              <w:rPr>
                <w:rFonts w:hint="eastAsia"/>
                <w:highlight w:val="none"/>
                <w:vertAlign w:val="baseline"/>
                <w:lang w:val="en-US" w:eastAsia="zh-CN"/>
              </w:rPr>
            </w:pPr>
          </w:p>
        </w:tc>
        <w:tc>
          <w:tcPr>
            <w:tcW w:w="1040" w:type="dxa"/>
            <w:vMerge w:val="restart"/>
          </w:tcPr>
          <w:p w14:paraId="1E703200">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经费管理</w:t>
            </w:r>
          </w:p>
        </w:tc>
        <w:tc>
          <w:tcPr>
            <w:tcW w:w="1721" w:type="dxa"/>
            <w:shd w:val="clear" w:color="auto" w:fill="auto"/>
            <w:vAlign w:val="center"/>
          </w:tcPr>
          <w:p w14:paraId="6795E27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经费到账</w:t>
            </w:r>
          </w:p>
        </w:tc>
        <w:tc>
          <w:tcPr>
            <w:tcW w:w="4003" w:type="dxa"/>
            <w:shd w:val="clear" w:color="auto" w:fill="auto"/>
            <w:vAlign w:val="center"/>
          </w:tcPr>
          <w:p w14:paraId="42B575E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kern w:val="2"/>
                <w:sz w:val="24"/>
                <w:szCs w:val="24"/>
                <w:highlight w:val="none"/>
                <w:lang w:val="en-US"/>
              </w:rPr>
              <w:t>支持经费</w:t>
            </w:r>
            <w:r>
              <w:rPr>
                <w:rFonts w:hint="eastAsia" w:ascii="Times New Roman" w:hAnsi="Times New Roman" w:eastAsia="宋体" w:cs="Times New Roman"/>
                <w:b w:val="0"/>
                <w:bCs w:val="0"/>
                <w:kern w:val="2"/>
                <w:sz w:val="24"/>
                <w:szCs w:val="24"/>
                <w:highlight w:val="none"/>
                <w:lang w:val="en-US" w:eastAsia="zh-CN"/>
              </w:rPr>
              <w:t>到</w:t>
            </w:r>
            <w:r>
              <w:rPr>
                <w:rFonts w:hint="default" w:ascii="Times New Roman" w:hAnsi="Times New Roman" w:eastAsia="宋体" w:cs="Times New Roman"/>
                <w:b w:val="0"/>
                <w:bCs w:val="0"/>
                <w:kern w:val="2"/>
                <w:sz w:val="24"/>
                <w:szCs w:val="24"/>
                <w:highlight w:val="none"/>
                <w:lang w:val="en-US"/>
              </w:rPr>
              <w:t>账申请，</w:t>
            </w:r>
            <w:r>
              <w:rPr>
                <w:rFonts w:hint="eastAsia" w:ascii="Times New Roman" w:hAnsi="Times New Roman" w:eastAsia="宋体" w:cs="Times New Roman"/>
                <w:b w:val="0"/>
                <w:bCs w:val="0"/>
                <w:kern w:val="2"/>
                <w:sz w:val="24"/>
                <w:szCs w:val="24"/>
                <w:highlight w:val="none"/>
                <w:lang w:val="en-US" w:eastAsia="zh-CN"/>
              </w:rPr>
              <w:t>CRA在线登记经费打款信息</w:t>
            </w:r>
            <w:r>
              <w:rPr>
                <w:rFonts w:hint="eastAsia" w:ascii="Times New Roman" w:hAnsi="Times New Roman" w:eastAsia="宋体" w:cs="Times New Roman"/>
                <w:b w:val="0"/>
                <w:bCs w:val="0"/>
                <w:kern w:val="2"/>
                <w:sz w:val="24"/>
                <w:szCs w:val="24"/>
                <w:highlight w:val="none"/>
                <w:lang w:val="en-US"/>
              </w:rPr>
              <w:t>，填写打款单位、打款日期、打款金额、打款笔次（首笔、中期、末笔）</w:t>
            </w:r>
            <w:r>
              <w:rPr>
                <w:rFonts w:hint="eastAsia" w:ascii="Times New Roman" w:hAnsi="Times New Roman" w:eastAsia="宋体" w:cs="Times New Roman"/>
                <w:b w:val="0"/>
                <w:bCs w:val="0"/>
                <w:kern w:val="2"/>
                <w:sz w:val="24"/>
                <w:szCs w:val="24"/>
                <w:highlight w:val="none"/>
                <w:lang w:val="en-US" w:eastAsia="zh-CN"/>
              </w:rPr>
              <w:t>、</w:t>
            </w:r>
            <w:r>
              <w:rPr>
                <w:rFonts w:hint="eastAsia" w:ascii="Times New Roman" w:hAnsi="Times New Roman" w:eastAsia="宋体" w:cs="Times New Roman"/>
                <w:b w:val="0"/>
                <w:bCs w:val="0"/>
                <w:kern w:val="2"/>
                <w:sz w:val="24"/>
                <w:szCs w:val="24"/>
                <w:highlight w:val="none"/>
                <w:lang w:val="en-US"/>
              </w:rPr>
              <w:t>上传打款凭证</w:t>
            </w:r>
            <w:r>
              <w:rPr>
                <w:rFonts w:hint="eastAsia" w:ascii="Times New Roman" w:hAnsi="Times New Roman" w:eastAsia="宋体" w:cs="Times New Roman"/>
                <w:b w:val="0"/>
                <w:bCs w:val="0"/>
                <w:kern w:val="2"/>
                <w:sz w:val="24"/>
                <w:szCs w:val="24"/>
                <w:highlight w:val="none"/>
                <w:lang w:val="en-US" w:eastAsia="zh-CN"/>
              </w:rPr>
              <w:t>，提交机构审核确认。</w:t>
            </w:r>
          </w:p>
        </w:tc>
      </w:tr>
      <w:tr w14:paraId="32508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3208C2DA">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20</w:t>
            </w:r>
          </w:p>
        </w:tc>
        <w:tc>
          <w:tcPr>
            <w:tcW w:w="414" w:type="dxa"/>
            <w:vMerge w:val="continue"/>
          </w:tcPr>
          <w:p w14:paraId="21FE4B10">
            <w:pPr>
              <w:pStyle w:val="3"/>
              <w:numPr>
                <w:ilvl w:val="0"/>
                <w:numId w:val="0"/>
              </w:numPr>
              <w:ind w:right="291" w:rightChars="0"/>
              <w:rPr>
                <w:rFonts w:hint="eastAsia"/>
                <w:highlight w:val="none"/>
                <w:vertAlign w:val="baseline"/>
                <w:lang w:val="en-US" w:eastAsia="zh-CN"/>
              </w:rPr>
            </w:pPr>
          </w:p>
        </w:tc>
        <w:tc>
          <w:tcPr>
            <w:tcW w:w="902" w:type="dxa"/>
            <w:vMerge w:val="continue"/>
          </w:tcPr>
          <w:p w14:paraId="0F5EAE81">
            <w:pPr>
              <w:pStyle w:val="3"/>
              <w:numPr>
                <w:ilvl w:val="0"/>
                <w:numId w:val="0"/>
              </w:numPr>
              <w:ind w:right="291" w:rightChars="0"/>
              <w:rPr>
                <w:rFonts w:hint="eastAsia"/>
                <w:highlight w:val="none"/>
                <w:vertAlign w:val="baseline"/>
                <w:lang w:val="en-US" w:eastAsia="zh-CN"/>
              </w:rPr>
            </w:pPr>
          </w:p>
        </w:tc>
        <w:tc>
          <w:tcPr>
            <w:tcW w:w="1040" w:type="dxa"/>
            <w:vMerge w:val="continue"/>
          </w:tcPr>
          <w:p w14:paraId="6F270D9B">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2E3438F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发票领取</w:t>
            </w:r>
          </w:p>
        </w:tc>
        <w:tc>
          <w:tcPr>
            <w:tcW w:w="4003" w:type="dxa"/>
            <w:shd w:val="clear" w:color="auto" w:fill="auto"/>
            <w:vAlign w:val="center"/>
          </w:tcPr>
          <w:p w14:paraId="64196AC8">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支持申办者登记开票信息，机构开票后提醒CRA领取发票，支持纸质发票领取登记、电子发票在线领取。</w:t>
            </w:r>
          </w:p>
        </w:tc>
      </w:tr>
      <w:tr w14:paraId="60691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7E40A5D4">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21</w:t>
            </w:r>
          </w:p>
        </w:tc>
        <w:tc>
          <w:tcPr>
            <w:tcW w:w="414" w:type="dxa"/>
            <w:vMerge w:val="continue"/>
          </w:tcPr>
          <w:p w14:paraId="740A5800">
            <w:pPr>
              <w:pStyle w:val="3"/>
              <w:numPr>
                <w:ilvl w:val="0"/>
                <w:numId w:val="0"/>
              </w:numPr>
              <w:ind w:right="291" w:rightChars="0"/>
              <w:rPr>
                <w:rFonts w:hint="eastAsia"/>
                <w:highlight w:val="none"/>
                <w:vertAlign w:val="baseline"/>
                <w:lang w:val="en-US" w:eastAsia="zh-CN"/>
              </w:rPr>
            </w:pPr>
          </w:p>
        </w:tc>
        <w:tc>
          <w:tcPr>
            <w:tcW w:w="902" w:type="dxa"/>
            <w:vMerge w:val="continue"/>
          </w:tcPr>
          <w:p w14:paraId="46028759">
            <w:pPr>
              <w:pStyle w:val="3"/>
              <w:numPr>
                <w:ilvl w:val="0"/>
                <w:numId w:val="0"/>
              </w:numPr>
              <w:ind w:right="291" w:rightChars="0"/>
              <w:rPr>
                <w:rFonts w:hint="eastAsia"/>
                <w:highlight w:val="none"/>
                <w:vertAlign w:val="baseline"/>
                <w:lang w:val="en-US" w:eastAsia="zh-CN"/>
              </w:rPr>
            </w:pPr>
          </w:p>
        </w:tc>
        <w:tc>
          <w:tcPr>
            <w:tcW w:w="1040" w:type="dxa"/>
            <w:vMerge w:val="continue"/>
          </w:tcPr>
          <w:p w14:paraId="5D357204">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62CEBFE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经费使用申请</w:t>
            </w:r>
          </w:p>
        </w:tc>
        <w:tc>
          <w:tcPr>
            <w:tcW w:w="4003" w:type="dxa"/>
            <w:shd w:val="clear" w:color="auto" w:fill="auto"/>
            <w:vAlign w:val="center"/>
          </w:tcPr>
          <w:p w14:paraId="0F89AFF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sz w:val="24"/>
                <w:szCs w:val="24"/>
                <w:highlight w:val="none"/>
                <w:lang w:val="en-US"/>
              </w:rPr>
            </w:pPr>
            <w:r>
              <w:rPr>
                <w:rFonts w:hint="eastAsia" w:ascii="Times New Roman" w:hAnsi="Times New Roman" w:eastAsia="宋体" w:cs="Times New Roman"/>
                <w:b w:val="0"/>
                <w:bCs w:val="0"/>
                <w:sz w:val="24"/>
                <w:szCs w:val="24"/>
                <w:highlight w:val="none"/>
                <w:lang w:val="en-US" w:eastAsia="zh-CN"/>
              </w:rPr>
              <w:t>支持</w:t>
            </w:r>
            <w:r>
              <w:rPr>
                <w:rFonts w:hint="eastAsia" w:ascii="Times New Roman" w:hAnsi="Times New Roman" w:eastAsia="宋体" w:cs="Times New Roman"/>
                <w:b w:val="0"/>
                <w:bCs w:val="0"/>
                <w:sz w:val="24"/>
                <w:szCs w:val="24"/>
                <w:highlight w:val="none"/>
                <w:lang w:val="en-US"/>
              </w:rPr>
              <w:t>研究者申请经费，根据经费类别填写申请经费信息，提交机构审批。</w:t>
            </w:r>
          </w:p>
          <w:p w14:paraId="35E041E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支持对受试者补贴的申请发放流程进行配置，依据已配置的方案访视要求，确认受试者已完成的访视情况，并申请发放相对应的补贴。防止重复发放或遗漏。</w:t>
            </w:r>
          </w:p>
        </w:tc>
      </w:tr>
      <w:tr w14:paraId="39EC4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BAF5FB3">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22</w:t>
            </w:r>
          </w:p>
        </w:tc>
        <w:tc>
          <w:tcPr>
            <w:tcW w:w="414" w:type="dxa"/>
            <w:vMerge w:val="continue"/>
          </w:tcPr>
          <w:p w14:paraId="68E52923">
            <w:pPr>
              <w:pStyle w:val="3"/>
              <w:numPr>
                <w:ilvl w:val="0"/>
                <w:numId w:val="0"/>
              </w:numPr>
              <w:ind w:right="291" w:rightChars="0"/>
              <w:rPr>
                <w:rFonts w:hint="eastAsia"/>
                <w:highlight w:val="none"/>
                <w:vertAlign w:val="baseline"/>
                <w:lang w:val="en-US" w:eastAsia="zh-CN"/>
              </w:rPr>
            </w:pPr>
          </w:p>
        </w:tc>
        <w:tc>
          <w:tcPr>
            <w:tcW w:w="902" w:type="dxa"/>
            <w:vMerge w:val="continue"/>
          </w:tcPr>
          <w:p w14:paraId="0272CF6D">
            <w:pPr>
              <w:pStyle w:val="3"/>
              <w:numPr>
                <w:ilvl w:val="0"/>
                <w:numId w:val="0"/>
              </w:numPr>
              <w:ind w:right="291" w:rightChars="0"/>
              <w:rPr>
                <w:rFonts w:hint="eastAsia"/>
                <w:highlight w:val="none"/>
                <w:vertAlign w:val="baseline"/>
                <w:lang w:val="en-US" w:eastAsia="zh-CN"/>
              </w:rPr>
            </w:pPr>
          </w:p>
        </w:tc>
        <w:tc>
          <w:tcPr>
            <w:tcW w:w="1040" w:type="dxa"/>
            <w:vMerge w:val="continue"/>
          </w:tcPr>
          <w:p w14:paraId="23C56F2D">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38CB715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经费退款管理</w:t>
            </w:r>
          </w:p>
        </w:tc>
        <w:tc>
          <w:tcPr>
            <w:tcW w:w="4003" w:type="dxa"/>
            <w:shd w:val="clear" w:color="auto" w:fill="auto"/>
            <w:vAlign w:val="center"/>
          </w:tcPr>
          <w:p w14:paraId="2661A9E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对于项目结余的经费，支持CRA提交结算依据进行退款申请，以保证系统中经费数据的收支平衡。</w:t>
            </w:r>
          </w:p>
        </w:tc>
      </w:tr>
      <w:tr w14:paraId="3112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77D58DB">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23</w:t>
            </w:r>
          </w:p>
        </w:tc>
        <w:tc>
          <w:tcPr>
            <w:tcW w:w="414" w:type="dxa"/>
            <w:vMerge w:val="continue"/>
          </w:tcPr>
          <w:p w14:paraId="55B1F3BB">
            <w:pPr>
              <w:pStyle w:val="3"/>
              <w:numPr>
                <w:ilvl w:val="0"/>
                <w:numId w:val="0"/>
              </w:numPr>
              <w:ind w:right="291" w:rightChars="0"/>
              <w:rPr>
                <w:rFonts w:hint="eastAsia"/>
                <w:highlight w:val="none"/>
                <w:vertAlign w:val="baseline"/>
                <w:lang w:val="en-US" w:eastAsia="zh-CN"/>
              </w:rPr>
            </w:pPr>
          </w:p>
        </w:tc>
        <w:tc>
          <w:tcPr>
            <w:tcW w:w="902" w:type="dxa"/>
            <w:vMerge w:val="continue"/>
          </w:tcPr>
          <w:p w14:paraId="6E18A0A9">
            <w:pPr>
              <w:pStyle w:val="3"/>
              <w:numPr>
                <w:ilvl w:val="0"/>
                <w:numId w:val="0"/>
              </w:numPr>
              <w:ind w:right="291" w:rightChars="0"/>
              <w:rPr>
                <w:rFonts w:hint="eastAsia"/>
                <w:highlight w:val="none"/>
                <w:vertAlign w:val="baseline"/>
                <w:lang w:val="en-US" w:eastAsia="zh-CN"/>
              </w:rPr>
            </w:pPr>
          </w:p>
        </w:tc>
        <w:tc>
          <w:tcPr>
            <w:tcW w:w="1040" w:type="dxa"/>
            <w:vMerge w:val="continue"/>
          </w:tcPr>
          <w:p w14:paraId="473B2D35">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13BD1F6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经费更新管理</w:t>
            </w:r>
          </w:p>
        </w:tc>
        <w:tc>
          <w:tcPr>
            <w:tcW w:w="4003" w:type="dxa"/>
            <w:shd w:val="clear" w:color="auto" w:fill="auto"/>
            <w:vAlign w:val="center"/>
          </w:tcPr>
          <w:p w14:paraId="439A4E3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自动计算受试者访视期固定费用金额（如受试者补助、交补等），当受试者检验检查费+访视期补助费超过一定阈值时提醒CRA及时打款。</w:t>
            </w:r>
          </w:p>
        </w:tc>
      </w:tr>
      <w:tr w14:paraId="0288C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C600AC5">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24</w:t>
            </w:r>
          </w:p>
        </w:tc>
        <w:tc>
          <w:tcPr>
            <w:tcW w:w="414" w:type="dxa"/>
            <w:vMerge w:val="continue"/>
          </w:tcPr>
          <w:p w14:paraId="6E206497">
            <w:pPr>
              <w:pStyle w:val="3"/>
              <w:numPr>
                <w:ilvl w:val="0"/>
                <w:numId w:val="0"/>
              </w:numPr>
              <w:ind w:right="291" w:rightChars="0"/>
              <w:rPr>
                <w:rFonts w:hint="eastAsia"/>
                <w:highlight w:val="none"/>
                <w:vertAlign w:val="baseline"/>
                <w:lang w:val="en-US" w:eastAsia="zh-CN"/>
              </w:rPr>
            </w:pPr>
          </w:p>
        </w:tc>
        <w:tc>
          <w:tcPr>
            <w:tcW w:w="902" w:type="dxa"/>
            <w:vMerge w:val="continue"/>
          </w:tcPr>
          <w:p w14:paraId="421C9338">
            <w:pPr>
              <w:pStyle w:val="3"/>
              <w:numPr>
                <w:ilvl w:val="0"/>
                <w:numId w:val="0"/>
              </w:numPr>
              <w:ind w:right="291" w:rightChars="0"/>
              <w:rPr>
                <w:rFonts w:hint="eastAsia"/>
                <w:highlight w:val="none"/>
                <w:vertAlign w:val="baseline"/>
                <w:lang w:val="en-US" w:eastAsia="zh-CN"/>
              </w:rPr>
            </w:pPr>
          </w:p>
        </w:tc>
        <w:tc>
          <w:tcPr>
            <w:tcW w:w="1040" w:type="dxa"/>
            <w:vMerge w:val="continue"/>
          </w:tcPr>
          <w:p w14:paraId="4E82D5BE">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0D82F82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经费低额预警</w:t>
            </w:r>
          </w:p>
        </w:tc>
        <w:tc>
          <w:tcPr>
            <w:tcW w:w="4003" w:type="dxa"/>
            <w:shd w:val="clear" w:color="auto" w:fill="auto"/>
            <w:vAlign w:val="center"/>
          </w:tcPr>
          <w:p w14:paraId="59F7B036">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sz w:val="24"/>
                <w:szCs w:val="24"/>
                <w:highlight w:val="none"/>
              </w:rPr>
              <w:t>支持设置受试者</w:t>
            </w:r>
            <w:r>
              <w:rPr>
                <w:rFonts w:hint="eastAsia" w:ascii="Times New Roman" w:hAnsi="Times New Roman" w:eastAsia="宋体" w:cs="Times New Roman"/>
                <w:b w:val="0"/>
                <w:bCs w:val="0"/>
                <w:sz w:val="24"/>
                <w:szCs w:val="24"/>
                <w:highlight w:val="none"/>
                <w:lang w:val="en-US" w:eastAsia="zh-CN"/>
              </w:rPr>
              <w:t>试验费用</w:t>
            </w:r>
            <w:r>
              <w:rPr>
                <w:rFonts w:hint="default" w:ascii="Times New Roman" w:hAnsi="Times New Roman" w:eastAsia="宋体" w:cs="Times New Roman"/>
                <w:b w:val="0"/>
                <w:bCs w:val="0"/>
                <w:sz w:val="24"/>
                <w:szCs w:val="24"/>
                <w:highlight w:val="none"/>
              </w:rPr>
              <w:t>余额阈值</w:t>
            </w:r>
            <w:r>
              <w:rPr>
                <w:rFonts w:hint="eastAsia" w:ascii="Times New Roman" w:hAnsi="Times New Roman" w:eastAsia="宋体" w:cs="Times New Roman"/>
                <w:b w:val="0"/>
                <w:bCs w:val="0"/>
                <w:sz w:val="24"/>
                <w:szCs w:val="24"/>
                <w:highlight w:val="none"/>
              </w:rPr>
              <w:t>，如固定金额或</w:t>
            </w:r>
            <w:r>
              <w:rPr>
                <w:rFonts w:hint="eastAsia" w:ascii="Times New Roman" w:hAnsi="Times New Roman" w:eastAsia="宋体" w:cs="Times New Roman"/>
                <w:b w:val="0"/>
                <w:bCs w:val="0"/>
                <w:kern w:val="2"/>
                <w:sz w:val="24"/>
                <w:szCs w:val="24"/>
                <w:highlight w:val="none"/>
                <w:lang w:val="en-US"/>
              </w:rPr>
              <w:t>总金额的比例</w:t>
            </w:r>
            <w:r>
              <w:rPr>
                <w:rFonts w:hint="eastAsia" w:ascii="Times New Roman" w:hAnsi="Times New Roman" w:eastAsia="宋体" w:cs="Times New Roman"/>
                <w:b w:val="0"/>
                <w:bCs w:val="0"/>
                <w:kern w:val="2"/>
                <w:sz w:val="24"/>
                <w:szCs w:val="24"/>
                <w:highlight w:val="none"/>
                <w:lang w:val="en-US" w:eastAsia="zh-CN"/>
              </w:rPr>
              <w:t>，当经费余额达到阈值时提醒CRA及时打款。</w:t>
            </w:r>
          </w:p>
        </w:tc>
      </w:tr>
      <w:tr w14:paraId="3F051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43A945E">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25</w:t>
            </w:r>
          </w:p>
        </w:tc>
        <w:tc>
          <w:tcPr>
            <w:tcW w:w="414" w:type="dxa"/>
            <w:vMerge w:val="continue"/>
          </w:tcPr>
          <w:p w14:paraId="1A5F10F5">
            <w:pPr>
              <w:pStyle w:val="3"/>
              <w:numPr>
                <w:ilvl w:val="0"/>
                <w:numId w:val="0"/>
              </w:numPr>
              <w:ind w:right="291" w:rightChars="0"/>
              <w:rPr>
                <w:rFonts w:hint="eastAsia"/>
                <w:highlight w:val="none"/>
                <w:vertAlign w:val="baseline"/>
                <w:lang w:val="en-US" w:eastAsia="zh-CN"/>
              </w:rPr>
            </w:pPr>
          </w:p>
        </w:tc>
        <w:tc>
          <w:tcPr>
            <w:tcW w:w="902" w:type="dxa"/>
            <w:vMerge w:val="continue"/>
          </w:tcPr>
          <w:p w14:paraId="6CED0250">
            <w:pPr>
              <w:pStyle w:val="3"/>
              <w:numPr>
                <w:ilvl w:val="0"/>
                <w:numId w:val="0"/>
              </w:numPr>
              <w:ind w:right="291" w:rightChars="0"/>
              <w:rPr>
                <w:rFonts w:hint="eastAsia"/>
                <w:highlight w:val="none"/>
                <w:vertAlign w:val="baseline"/>
                <w:lang w:val="en-US" w:eastAsia="zh-CN"/>
              </w:rPr>
            </w:pPr>
          </w:p>
        </w:tc>
        <w:tc>
          <w:tcPr>
            <w:tcW w:w="1040" w:type="dxa"/>
            <w:vMerge w:val="continue"/>
          </w:tcPr>
          <w:p w14:paraId="2D03DED8">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2FCC30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经费查询</w:t>
            </w:r>
          </w:p>
        </w:tc>
        <w:tc>
          <w:tcPr>
            <w:tcW w:w="4003" w:type="dxa"/>
            <w:shd w:val="clear" w:color="auto" w:fill="auto"/>
            <w:vAlign w:val="center"/>
          </w:tcPr>
          <w:p w14:paraId="6FD59E9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支持查看、统计和导出各项目的台账（经费入账、使用信息、剩余金额）。</w:t>
            </w:r>
          </w:p>
        </w:tc>
      </w:tr>
      <w:tr w14:paraId="2C509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FC4A6E0">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26</w:t>
            </w:r>
          </w:p>
        </w:tc>
        <w:tc>
          <w:tcPr>
            <w:tcW w:w="414" w:type="dxa"/>
            <w:vMerge w:val="continue"/>
          </w:tcPr>
          <w:p w14:paraId="70AD99C2">
            <w:pPr>
              <w:pStyle w:val="3"/>
              <w:numPr>
                <w:ilvl w:val="0"/>
                <w:numId w:val="0"/>
              </w:numPr>
              <w:ind w:right="291" w:rightChars="0"/>
              <w:rPr>
                <w:rFonts w:hint="eastAsia"/>
                <w:highlight w:val="none"/>
                <w:vertAlign w:val="baseline"/>
                <w:lang w:val="en-US" w:eastAsia="zh-CN"/>
              </w:rPr>
            </w:pPr>
          </w:p>
        </w:tc>
        <w:tc>
          <w:tcPr>
            <w:tcW w:w="902" w:type="dxa"/>
            <w:vMerge w:val="continue"/>
          </w:tcPr>
          <w:p w14:paraId="58C3481C">
            <w:pPr>
              <w:pStyle w:val="3"/>
              <w:numPr>
                <w:ilvl w:val="0"/>
                <w:numId w:val="0"/>
              </w:numPr>
              <w:ind w:right="291" w:rightChars="0"/>
              <w:rPr>
                <w:rFonts w:hint="eastAsia"/>
                <w:highlight w:val="none"/>
                <w:vertAlign w:val="baseline"/>
                <w:lang w:val="en-US" w:eastAsia="zh-CN"/>
              </w:rPr>
            </w:pPr>
          </w:p>
        </w:tc>
        <w:tc>
          <w:tcPr>
            <w:tcW w:w="1040" w:type="dxa"/>
            <w:vMerge w:val="restart"/>
          </w:tcPr>
          <w:p w14:paraId="7AC3F035">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人遗管理</w:t>
            </w:r>
          </w:p>
        </w:tc>
        <w:tc>
          <w:tcPr>
            <w:tcW w:w="1721" w:type="dxa"/>
            <w:shd w:val="clear" w:color="auto" w:fill="auto"/>
            <w:vAlign w:val="center"/>
          </w:tcPr>
          <w:p w14:paraId="539215B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人遗事项办理</w:t>
            </w:r>
          </w:p>
        </w:tc>
        <w:tc>
          <w:tcPr>
            <w:tcW w:w="4003" w:type="dxa"/>
            <w:shd w:val="clear" w:color="auto" w:fill="auto"/>
            <w:vAlign w:val="center"/>
          </w:tcPr>
          <w:p w14:paraId="5E6A79CD">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支持申办方</w:t>
            </w:r>
            <w:r>
              <w:rPr>
                <w:rFonts w:hint="default" w:ascii="Times New Roman" w:hAnsi="Times New Roman" w:eastAsia="宋体" w:cs="Times New Roman"/>
                <w:b w:val="0"/>
                <w:bCs w:val="0"/>
                <w:sz w:val="24"/>
                <w:szCs w:val="24"/>
                <w:highlight w:val="none"/>
                <w:lang w:val="en-US" w:eastAsia="zh-CN"/>
              </w:rPr>
              <w:t>依据规范填写人遗管理申报事项信息、提交</w:t>
            </w:r>
            <w:r>
              <w:rPr>
                <w:rFonts w:hint="eastAsia" w:ascii="Times New Roman" w:hAnsi="Times New Roman" w:eastAsia="宋体" w:cs="Times New Roman"/>
                <w:b w:val="0"/>
                <w:bCs w:val="0"/>
                <w:sz w:val="24"/>
                <w:szCs w:val="24"/>
                <w:highlight w:val="none"/>
                <w:lang w:val="en-US" w:eastAsia="zh-CN"/>
              </w:rPr>
              <w:t>承诺书及相关</w:t>
            </w:r>
            <w:r>
              <w:rPr>
                <w:rFonts w:hint="default" w:ascii="Times New Roman" w:hAnsi="Times New Roman" w:eastAsia="宋体" w:cs="Times New Roman"/>
                <w:b w:val="0"/>
                <w:bCs w:val="0"/>
                <w:sz w:val="24"/>
                <w:szCs w:val="24"/>
                <w:highlight w:val="none"/>
                <w:lang w:val="en-US" w:eastAsia="zh-CN"/>
              </w:rPr>
              <w:t>附件</w:t>
            </w:r>
            <w:r>
              <w:rPr>
                <w:rFonts w:hint="eastAsia" w:ascii="Times New Roman" w:hAnsi="Times New Roman" w:eastAsia="宋体" w:cs="Times New Roman"/>
                <w:b w:val="0"/>
                <w:bCs w:val="0"/>
                <w:sz w:val="24"/>
                <w:szCs w:val="24"/>
                <w:highlight w:val="none"/>
                <w:lang w:val="en-US" w:eastAsia="zh-CN"/>
              </w:rPr>
              <w:t>进行审批，获得批件后在线登记批件信息。</w:t>
            </w:r>
          </w:p>
        </w:tc>
      </w:tr>
      <w:tr w14:paraId="268D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6AEB2F9">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27</w:t>
            </w:r>
          </w:p>
        </w:tc>
        <w:tc>
          <w:tcPr>
            <w:tcW w:w="414" w:type="dxa"/>
            <w:vMerge w:val="continue"/>
          </w:tcPr>
          <w:p w14:paraId="4D201B3A">
            <w:pPr>
              <w:pStyle w:val="3"/>
              <w:numPr>
                <w:ilvl w:val="0"/>
                <w:numId w:val="0"/>
              </w:numPr>
              <w:ind w:right="291" w:rightChars="0"/>
              <w:rPr>
                <w:rFonts w:hint="eastAsia"/>
                <w:highlight w:val="none"/>
                <w:vertAlign w:val="baseline"/>
                <w:lang w:val="en-US" w:eastAsia="zh-CN"/>
              </w:rPr>
            </w:pPr>
          </w:p>
        </w:tc>
        <w:tc>
          <w:tcPr>
            <w:tcW w:w="902" w:type="dxa"/>
            <w:vMerge w:val="continue"/>
          </w:tcPr>
          <w:p w14:paraId="648330E5">
            <w:pPr>
              <w:pStyle w:val="3"/>
              <w:numPr>
                <w:ilvl w:val="0"/>
                <w:numId w:val="0"/>
              </w:numPr>
              <w:ind w:right="291" w:rightChars="0"/>
              <w:rPr>
                <w:rFonts w:hint="eastAsia"/>
                <w:highlight w:val="none"/>
                <w:vertAlign w:val="baseline"/>
                <w:lang w:val="en-US" w:eastAsia="zh-CN"/>
              </w:rPr>
            </w:pPr>
          </w:p>
        </w:tc>
        <w:tc>
          <w:tcPr>
            <w:tcW w:w="1040" w:type="dxa"/>
            <w:vMerge w:val="continue"/>
          </w:tcPr>
          <w:p w14:paraId="6D8E2CA6">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6D000DE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人遗资源采集自查管理</w:t>
            </w:r>
          </w:p>
        </w:tc>
        <w:tc>
          <w:tcPr>
            <w:tcW w:w="4003" w:type="dxa"/>
            <w:shd w:val="clear" w:color="auto" w:fill="auto"/>
            <w:vAlign w:val="center"/>
          </w:tcPr>
          <w:p w14:paraId="45EE8D8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支持配置人类遗传资源管理事项填报规则和自查频率。系统自查频率，触发人遗定期自查提醒，申办者依据要求填报数据。</w:t>
            </w:r>
          </w:p>
        </w:tc>
      </w:tr>
      <w:tr w14:paraId="0B90B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40319DC">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28</w:t>
            </w:r>
          </w:p>
        </w:tc>
        <w:tc>
          <w:tcPr>
            <w:tcW w:w="414" w:type="dxa"/>
            <w:vMerge w:val="continue"/>
          </w:tcPr>
          <w:p w14:paraId="65C0AF5D">
            <w:pPr>
              <w:pStyle w:val="3"/>
              <w:numPr>
                <w:ilvl w:val="0"/>
                <w:numId w:val="0"/>
              </w:numPr>
              <w:ind w:right="291" w:rightChars="0"/>
              <w:rPr>
                <w:rFonts w:hint="eastAsia"/>
                <w:highlight w:val="none"/>
                <w:vertAlign w:val="baseline"/>
                <w:lang w:val="en-US" w:eastAsia="zh-CN"/>
              </w:rPr>
            </w:pPr>
          </w:p>
        </w:tc>
        <w:tc>
          <w:tcPr>
            <w:tcW w:w="902" w:type="dxa"/>
            <w:vMerge w:val="continue"/>
          </w:tcPr>
          <w:p w14:paraId="16E4516F">
            <w:pPr>
              <w:pStyle w:val="3"/>
              <w:numPr>
                <w:ilvl w:val="0"/>
                <w:numId w:val="0"/>
              </w:numPr>
              <w:ind w:right="291" w:rightChars="0"/>
              <w:rPr>
                <w:rFonts w:hint="eastAsia"/>
                <w:highlight w:val="none"/>
                <w:vertAlign w:val="baseline"/>
                <w:lang w:val="en-US" w:eastAsia="zh-CN"/>
              </w:rPr>
            </w:pPr>
          </w:p>
        </w:tc>
        <w:tc>
          <w:tcPr>
            <w:tcW w:w="1040" w:type="dxa"/>
            <w:vMerge w:val="continue"/>
          </w:tcPr>
          <w:p w14:paraId="49BD9BDF">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0C09BF6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人遗风险预警</w:t>
            </w:r>
          </w:p>
        </w:tc>
        <w:tc>
          <w:tcPr>
            <w:tcW w:w="4003" w:type="dxa"/>
            <w:shd w:val="clear" w:color="auto" w:fill="auto"/>
            <w:vAlign w:val="center"/>
          </w:tcPr>
          <w:p w14:paraId="23192821">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支持设置预警线，可根据填报的人遗进度数据与批件数据自动比对，并进行风险提示。</w:t>
            </w:r>
          </w:p>
        </w:tc>
      </w:tr>
      <w:tr w14:paraId="348C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F1AC9A7">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29</w:t>
            </w:r>
          </w:p>
        </w:tc>
        <w:tc>
          <w:tcPr>
            <w:tcW w:w="414" w:type="dxa"/>
            <w:vMerge w:val="continue"/>
          </w:tcPr>
          <w:p w14:paraId="123DDA5D">
            <w:pPr>
              <w:pStyle w:val="3"/>
              <w:numPr>
                <w:ilvl w:val="0"/>
                <w:numId w:val="0"/>
              </w:numPr>
              <w:ind w:right="291" w:rightChars="0"/>
              <w:rPr>
                <w:rFonts w:hint="eastAsia"/>
                <w:highlight w:val="none"/>
                <w:vertAlign w:val="baseline"/>
                <w:lang w:val="en-US" w:eastAsia="zh-CN"/>
              </w:rPr>
            </w:pPr>
          </w:p>
        </w:tc>
        <w:tc>
          <w:tcPr>
            <w:tcW w:w="902" w:type="dxa"/>
            <w:vMerge w:val="continue"/>
          </w:tcPr>
          <w:p w14:paraId="33B5CBA0">
            <w:pPr>
              <w:pStyle w:val="3"/>
              <w:numPr>
                <w:ilvl w:val="0"/>
                <w:numId w:val="0"/>
              </w:numPr>
              <w:ind w:right="291" w:rightChars="0"/>
              <w:rPr>
                <w:rFonts w:hint="eastAsia"/>
                <w:highlight w:val="none"/>
                <w:vertAlign w:val="baseline"/>
                <w:lang w:val="en-US" w:eastAsia="zh-CN"/>
              </w:rPr>
            </w:pPr>
          </w:p>
        </w:tc>
        <w:tc>
          <w:tcPr>
            <w:tcW w:w="1040" w:type="dxa"/>
            <w:vMerge w:val="restart"/>
          </w:tcPr>
          <w:p w14:paraId="4B45C8C8">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质量控制管理</w:t>
            </w:r>
          </w:p>
        </w:tc>
        <w:tc>
          <w:tcPr>
            <w:tcW w:w="1721" w:type="dxa"/>
            <w:shd w:val="clear" w:color="auto" w:fill="auto"/>
            <w:vAlign w:val="center"/>
          </w:tcPr>
          <w:p w14:paraId="5884A2B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质控节点配置</w:t>
            </w:r>
          </w:p>
        </w:tc>
        <w:tc>
          <w:tcPr>
            <w:tcW w:w="4003" w:type="dxa"/>
            <w:shd w:val="clear" w:color="auto" w:fill="auto"/>
            <w:vAlign w:val="center"/>
          </w:tcPr>
          <w:p w14:paraId="66CD6B8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支持依据医院要求配置质控节点，配置质控核查清单和质控报告模块，系统能够自动生成质控待办任务</w:t>
            </w:r>
            <w:r>
              <w:rPr>
                <w:rFonts w:hint="eastAsia" w:ascii="Times New Roman" w:hAnsi="Times New Roman" w:eastAsia="宋体" w:cs="Times New Roman"/>
                <w:b w:val="0"/>
                <w:bCs w:val="0"/>
                <w:sz w:val="24"/>
                <w:szCs w:val="24"/>
                <w:highlight w:val="none"/>
              </w:rPr>
              <w:t>。</w:t>
            </w:r>
            <w:r>
              <w:rPr>
                <w:rFonts w:hint="eastAsia" w:ascii="Times New Roman" w:hAnsi="Times New Roman" w:eastAsia="宋体" w:cs="Times New Roman"/>
                <w:b w:val="0"/>
                <w:bCs w:val="0"/>
                <w:sz w:val="24"/>
                <w:szCs w:val="24"/>
                <w:highlight w:val="none"/>
                <w:lang w:val="en-US" w:eastAsia="zh-CN"/>
              </w:rPr>
              <w:t>支持配置启动前质控、首例质控、入组1/2质控、过程质控、结题质控等。</w:t>
            </w:r>
          </w:p>
        </w:tc>
      </w:tr>
      <w:tr w14:paraId="1BFA6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ED150C5">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30</w:t>
            </w:r>
          </w:p>
        </w:tc>
        <w:tc>
          <w:tcPr>
            <w:tcW w:w="414" w:type="dxa"/>
            <w:vMerge w:val="continue"/>
          </w:tcPr>
          <w:p w14:paraId="6C6A7320">
            <w:pPr>
              <w:pStyle w:val="3"/>
              <w:numPr>
                <w:ilvl w:val="0"/>
                <w:numId w:val="0"/>
              </w:numPr>
              <w:ind w:right="291" w:rightChars="0"/>
              <w:rPr>
                <w:rFonts w:hint="eastAsia"/>
                <w:highlight w:val="none"/>
                <w:vertAlign w:val="baseline"/>
                <w:lang w:val="en-US" w:eastAsia="zh-CN"/>
              </w:rPr>
            </w:pPr>
          </w:p>
        </w:tc>
        <w:tc>
          <w:tcPr>
            <w:tcW w:w="902" w:type="dxa"/>
            <w:vMerge w:val="continue"/>
          </w:tcPr>
          <w:p w14:paraId="15887487">
            <w:pPr>
              <w:pStyle w:val="3"/>
              <w:numPr>
                <w:ilvl w:val="0"/>
                <w:numId w:val="0"/>
              </w:numPr>
              <w:ind w:right="291" w:rightChars="0"/>
              <w:rPr>
                <w:rFonts w:hint="eastAsia"/>
                <w:highlight w:val="none"/>
                <w:vertAlign w:val="baseline"/>
                <w:lang w:val="en-US" w:eastAsia="zh-CN"/>
              </w:rPr>
            </w:pPr>
          </w:p>
        </w:tc>
        <w:tc>
          <w:tcPr>
            <w:tcW w:w="1040" w:type="dxa"/>
            <w:vMerge w:val="continue"/>
          </w:tcPr>
          <w:p w14:paraId="690D5221">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2B82CD7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专业组质控</w:t>
            </w:r>
          </w:p>
        </w:tc>
        <w:tc>
          <w:tcPr>
            <w:tcW w:w="4003" w:type="dxa"/>
            <w:shd w:val="clear" w:color="auto" w:fill="auto"/>
            <w:vAlign w:val="center"/>
          </w:tcPr>
          <w:p w14:paraId="0922FDD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系统依据质控节点生成专业组自查质控待办任务，专业组质控员在线记录质控问题并生成质控报告。</w:t>
            </w:r>
          </w:p>
        </w:tc>
      </w:tr>
      <w:tr w14:paraId="60130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4AA607A">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31</w:t>
            </w:r>
          </w:p>
        </w:tc>
        <w:tc>
          <w:tcPr>
            <w:tcW w:w="414" w:type="dxa"/>
            <w:vMerge w:val="continue"/>
          </w:tcPr>
          <w:p w14:paraId="7FF75ACD">
            <w:pPr>
              <w:pStyle w:val="3"/>
              <w:numPr>
                <w:ilvl w:val="0"/>
                <w:numId w:val="0"/>
              </w:numPr>
              <w:ind w:right="291" w:rightChars="0"/>
              <w:rPr>
                <w:rFonts w:hint="eastAsia"/>
                <w:highlight w:val="none"/>
                <w:vertAlign w:val="baseline"/>
                <w:lang w:val="en-US" w:eastAsia="zh-CN"/>
              </w:rPr>
            </w:pPr>
          </w:p>
        </w:tc>
        <w:tc>
          <w:tcPr>
            <w:tcW w:w="902" w:type="dxa"/>
            <w:vMerge w:val="continue"/>
          </w:tcPr>
          <w:p w14:paraId="2A4D3569">
            <w:pPr>
              <w:pStyle w:val="3"/>
              <w:numPr>
                <w:ilvl w:val="0"/>
                <w:numId w:val="0"/>
              </w:numPr>
              <w:ind w:right="291" w:rightChars="0"/>
              <w:rPr>
                <w:rFonts w:hint="eastAsia"/>
                <w:highlight w:val="none"/>
                <w:vertAlign w:val="baseline"/>
                <w:lang w:val="en-US" w:eastAsia="zh-CN"/>
              </w:rPr>
            </w:pPr>
          </w:p>
        </w:tc>
        <w:tc>
          <w:tcPr>
            <w:tcW w:w="1040" w:type="dxa"/>
            <w:vMerge w:val="continue"/>
          </w:tcPr>
          <w:p w14:paraId="3EA72ED2">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7B006F9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机构质控</w:t>
            </w:r>
          </w:p>
        </w:tc>
        <w:tc>
          <w:tcPr>
            <w:tcW w:w="4003" w:type="dxa"/>
            <w:shd w:val="clear" w:color="auto" w:fill="auto"/>
            <w:vAlign w:val="center"/>
          </w:tcPr>
          <w:p w14:paraId="65F68F7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系统依据质控节点生成机构质控，机构质控员在线记录质控问题并生成质控报告。同时，支持质控员自主发起质控。</w:t>
            </w:r>
          </w:p>
        </w:tc>
      </w:tr>
      <w:tr w14:paraId="7D7D4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3D258BF">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32</w:t>
            </w:r>
          </w:p>
        </w:tc>
        <w:tc>
          <w:tcPr>
            <w:tcW w:w="414" w:type="dxa"/>
            <w:vMerge w:val="continue"/>
          </w:tcPr>
          <w:p w14:paraId="7063F928">
            <w:pPr>
              <w:pStyle w:val="3"/>
              <w:numPr>
                <w:ilvl w:val="0"/>
                <w:numId w:val="0"/>
              </w:numPr>
              <w:ind w:right="291" w:rightChars="0"/>
              <w:rPr>
                <w:rFonts w:hint="eastAsia"/>
                <w:highlight w:val="none"/>
                <w:vertAlign w:val="baseline"/>
                <w:lang w:val="en-US" w:eastAsia="zh-CN"/>
              </w:rPr>
            </w:pPr>
          </w:p>
        </w:tc>
        <w:tc>
          <w:tcPr>
            <w:tcW w:w="902" w:type="dxa"/>
            <w:vMerge w:val="continue"/>
          </w:tcPr>
          <w:p w14:paraId="58F50098">
            <w:pPr>
              <w:pStyle w:val="3"/>
              <w:numPr>
                <w:ilvl w:val="0"/>
                <w:numId w:val="0"/>
              </w:numPr>
              <w:ind w:right="291" w:rightChars="0"/>
              <w:rPr>
                <w:rFonts w:hint="eastAsia"/>
                <w:highlight w:val="none"/>
                <w:vertAlign w:val="baseline"/>
                <w:lang w:val="en-US" w:eastAsia="zh-CN"/>
              </w:rPr>
            </w:pPr>
          </w:p>
        </w:tc>
        <w:tc>
          <w:tcPr>
            <w:tcW w:w="1040" w:type="dxa"/>
            <w:vMerge w:val="continue"/>
          </w:tcPr>
          <w:p w14:paraId="08B51E6B">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27E4C5C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监查预约</w:t>
            </w:r>
          </w:p>
        </w:tc>
        <w:tc>
          <w:tcPr>
            <w:tcW w:w="4003" w:type="dxa"/>
            <w:shd w:val="clear" w:color="auto" w:fill="auto"/>
            <w:vAlign w:val="center"/>
          </w:tcPr>
          <w:p w14:paraId="6B30AC26">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支持申办方（CRA）在线发起监查或质控预约。机构办人员可审核预约申请，并查询预约记录。</w:t>
            </w:r>
          </w:p>
        </w:tc>
      </w:tr>
      <w:tr w14:paraId="03346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11D2B54">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33</w:t>
            </w:r>
          </w:p>
        </w:tc>
        <w:tc>
          <w:tcPr>
            <w:tcW w:w="414" w:type="dxa"/>
            <w:vMerge w:val="continue"/>
          </w:tcPr>
          <w:p w14:paraId="4135D059">
            <w:pPr>
              <w:pStyle w:val="3"/>
              <w:numPr>
                <w:ilvl w:val="0"/>
                <w:numId w:val="0"/>
              </w:numPr>
              <w:ind w:right="291" w:rightChars="0"/>
              <w:rPr>
                <w:rFonts w:hint="eastAsia"/>
                <w:highlight w:val="none"/>
                <w:vertAlign w:val="baseline"/>
                <w:lang w:val="en-US" w:eastAsia="zh-CN"/>
              </w:rPr>
            </w:pPr>
          </w:p>
        </w:tc>
        <w:tc>
          <w:tcPr>
            <w:tcW w:w="902" w:type="dxa"/>
            <w:vMerge w:val="continue"/>
          </w:tcPr>
          <w:p w14:paraId="1FE9176E">
            <w:pPr>
              <w:pStyle w:val="3"/>
              <w:numPr>
                <w:ilvl w:val="0"/>
                <w:numId w:val="0"/>
              </w:numPr>
              <w:ind w:right="291" w:rightChars="0"/>
              <w:rPr>
                <w:rFonts w:hint="eastAsia"/>
                <w:highlight w:val="none"/>
                <w:vertAlign w:val="baseline"/>
                <w:lang w:val="en-US" w:eastAsia="zh-CN"/>
              </w:rPr>
            </w:pPr>
          </w:p>
        </w:tc>
        <w:tc>
          <w:tcPr>
            <w:tcW w:w="1040" w:type="dxa"/>
            <w:vMerge w:val="continue"/>
          </w:tcPr>
          <w:p w14:paraId="4279D02B">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6D52422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质控闭环管理</w:t>
            </w:r>
          </w:p>
        </w:tc>
        <w:tc>
          <w:tcPr>
            <w:tcW w:w="4003" w:type="dxa"/>
            <w:shd w:val="clear" w:color="auto" w:fill="auto"/>
            <w:vAlign w:val="center"/>
          </w:tcPr>
          <w:p w14:paraId="6AE0126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实现</w:t>
            </w:r>
            <w:r>
              <w:rPr>
                <w:rFonts w:hint="default" w:ascii="Times New Roman" w:hAnsi="Times New Roman" w:eastAsia="宋体" w:cs="Times New Roman"/>
                <w:b w:val="0"/>
                <w:bCs w:val="0"/>
                <w:sz w:val="24"/>
                <w:szCs w:val="24"/>
                <w:highlight w:val="none"/>
                <w:lang w:val="en-US" w:eastAsia="zh-CN"/>
              </w:rPr>
              <w:t>质控</w:t>
            </w:r>
            <w:r>
              <w:rPr>
                <w:rFonts w:hint="eastAsia" w:ascii="Times New Roman" w:hAnsi="Times New Roman" w:eastAsia="宋体" w:cs="Times New Roman"/>
                <w:b w:val="0"/>
                <w:bCs w:val="0"/>
                <w:sz w:val="24"/>
                <w:szCs w:val="24"/>
                <w:highlight w:val="none"/>
                <w:lang w:val="en-US" w:eastAsia="zh-CN"/>
              </w:rPr>
              <w:t>任务-质控问题登记-质控报告-研究者整改反馈报告-质控员审核的闭环管理。</w:t>
            </w:r>
          </w:p>
        </w:tc>
      </w:tr>
      <w:tr w14:paraId="4615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28C46C5">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34</w:t>
            </w:r>
          </w:p>
        </w:tc>
        <w:tc>
          <w:tcPr>
            <w:tcW w:w="414" w:type="dxa"/>
            <w:vMerge w:val="continue"/>
          </w:tcPr>
          <w:p w14:paraId="6E44B41B">
            <w:pPr>
              <w:pStyle w:val="3"/>
              <w:numPr>
                <w:ilvl w:val="0"/>
                <w:numId w:val="0"/>
              </w:numPr>
              <w:ind w:right="291" w:rightChars="0"/>
              <w:rPr>
                <w:rFonts w:hint="eastAsia"/>
                <w:highlight w:val="none"/>
                <w:vertAlign w:val="baseline"/>
                <w:lang w:val="en-US" w:eastAsia="zh-CN"/>
              </w:rPr>
            </w:pPr>
          </w:p>
        </w:tc>
        <w:tc>
          <w:tcPr>
            <w:tcW w:w="902" w:type="dxa"/>
            <w:vMerge w:val="continue"/>
          </w:tcPr>
          <w:p w14:paraId="319F47A1">
            <w:pPr>
              <w:pStyle w:val="3"/>
              <w:numPr>
                <w:ilvl w:val="0"/>
                <w:numId w:val="0"/>
              </w:numPr>
              <w:ind w:right="291" w:rightChars="0"/>
              <w:rPr>
                <w:rFonts w:hint="eastAsia"/>
                <w:highlight w:val="none"/>
                <w:vertAlign w:val="baseline"/>
                <w:lang w:val="en-US" w:eastAsia="zh-CN"/>
              </w:rPr>
            </w:pPr>
          </w:p>
        </w:tc>
        <w:tc>
          <w:tcPr>
            <w:tcW w:w="1040" w:type="dxa"/>
            <w:vMerge w:val="continue"/>
          </w:tcPr>
          <w:p w14:paraId="667DA3ED">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23D911E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质控统计</w:t>
            </w:r>
          </w:p>
        </w:tc>
        <w:tc>
          <w:tcPr>
            <w:tcW w:w="4003" w:type="dxa"/>
            <w:shd w:val="clear" w:color="auto" w:fill="auto"/>
            <w:vAlign w:val="center"/>
          </w:tcPr>
          <w:p w14:paraId="7DE4A0A2">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支持质控统计功能，可直观看到各项目质控的开展情况。</w:t>
            </w:r>
          </w:p>
        </w:tc>
      </w:tr>
      <w:tr w14:paraId="27829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FCB73CF">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35</w:t>
            </w:r>
          </w:p>
        </w:tc>
        <w:tc>
          <w:tcPr>
            <w:tcW w:w="414" w:type="dxa"/>
            <w:vMerge w:val="continue"/>
          </w:tcPr>
          <w:p w14:paraId="1487E4B3">
            <w:pPr>
              <w:pStyle w:val="3"/>
              <w:numPr>
                <w:ilvl w:val="0"/>
                <w:numId w:val="0"/>
              </w:numPr>
              <w:ind w:right="291" w:rightChars="0"/>
              <w:rPr>
                <w:rFonts w:hint="eastAsia"/>
                <w:highlight w:val="none"/>
                <w:vertAlign w:val="baseline"/>
                <w:lang w:val="en-US" w:eastAsia="zh-CN"/>
              </w:rPr>
            </w:pPr>
          </w:p>
        </w:tc>
        <w:tc>
          <w:tcPr>
            <w:tcW w:w="902" w:type="dxa"/>
            <w:vMerge w:val="continue"/>
          </w:tcPr>
          <w:p w14:paraId="6F3D3AE2">
            <w:pPr>
              <w:pStyle w:val="3"/>
              <w:numPr>
                <w:ilvl w:val="0"/>
                <w:numId w:val="0"/>
              </w:numPr>
              <w:ind w:right="291" w:rightChars="0"/>
              <w:rPr>
                <w:rFonts w:hint="eastAsia"/>
                <w:highlight w:val="none"/>
                <w:vertAlign w:val="baseline"/>
                <w:lang w:val="en-US" w:eastAsia="zh-CN"/>
              </w:rPr>
            </w:pPr>
          </w:p>
        </w:tc>
        <w:tc>
          <w:tcPr>
            <w:tcW w:w="1040" w:type="dxa"/>
            <w:vMerge w:val="restart"/>
          </w:tcPr>
          <w:p w14:paraId="541FA40C">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药物管理</w:t>
            </w:r>
          </w:p>
        </w:tc>
        <w:tc>
          <w:tcPr>
            <w:tcW w:w="1721" w:type="dxa"/>
            <w:shd w:val="clear" w:color="auto" w:fill="auto"/>
            <w:vAlign w:val="center"/>
          </w:tcPr>
          <w:p w14:paraId="229DDDE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药物信息管理</w:t>
            </w:r>
          </w:p>
        </w:tc>
        <w:tc>
          <w:tcPr>
            <w:tcW w:w="4003" w:type="dxa"/>
            <w:shd w:val="clear" w:color="auto" w:fill="auto"/>
            <w:vAlign w:val="center"/>
          </w:tcPr>
          <w:p w14:paraId="5F6A4E1F">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lang w:val="en-US"/>
              </w:rPr>
              <w:t>支持药物信息新建，</w:t>
            </w:r>
            <w:r>
              <w:rPr>
                <w:rFonts w:hint="default" w:ascii="Times New Roman" w:hAnsi="Times New Roman" w:eastAsia="宋体" w:cs="Times New Roman"/>
                <w:b w:val="0"/>
                <w:bCs w:val="0"/>
                <w:sz w:val="24"/>
                <w:szCs w:val="24"/>
                <w:highlight w:val="none"/>
                <w:lang w:val="en-US" w:eastAsia="zh-CN"/>
              </w:rPr>
              <w:t>设置药物库存阈值</w:t>
            </w:r>
            <w:r>
              <w:rPr>
                <w:rFonts w:hint="eastAsia" w:ascii="Times New Roman" w:hAnsi="Times New Roman" w:eastAsia="宋体" w:cs="Times New Roman"/>
                <w:b w:val="0"/>
                <w:bCs w:val="0"/>
                <w:sz w:val="24"/>
                <w:szCs w:val="24"/>
                <w:highlight w:val="none"/>
                <w:lang w:val="en-US" w:eastAsia="zh-CN"/>
              </w:rPr>
              <w:t>、有效期阈值等。</w:t>
            </w:r>
            <w:r>
              <w:rPr>
                <w:rFonts w:hint="default" w:ascii="Times New Roman" w:hAnsi="Times New Roman" w:eastAsia="宋体" w:cs="Times New Roman"/>
                <w:b w:val="0"/>
                <w:bCs w:val="0"/>
                <w:sz w:val="24"/>
                <w:szCs w:val="24"/>
                <w:highlight w:val="none"/>
                <w:lang w:val="en-US" w:eastAsia="zh-CN"/>
              </w:rPr>
              <w:t>支持CRA新</w:t>
            </w:r>
            <w:r>
              <w:rPr>
                <w:rFonts w:hint="default" w:ascii="Times New Roman" w:hAnsi="Times New Roman" w:eastAsia="宋体" w:cs="Times New Roman"/>
                <w:b w:val="0"/>
                <w:bCs w:val="0"/>
                <w:sz w:val="24"/>
                <w:szCs w:val="24"/>
                <w:highlight w:val="none"/>
              </w:rPr>
              <w:t>添加</w:t>
            </w:r>
            <w:r>
              <w:rPr>
                <w:rFonts w:hint="default" w:ascii="Times New Roman" w:hAnsi="Times New Roman" w:eastAsia="宋体" w:cs="Times New Roman"/>
                <w:b w:val="0"/>
                <w:bCs w:val="0"/>
                <w:sz w:val="24"/>
                <w:szCs w:val="24"/>
                <w:highlight w:val="none"/>
                <w:lang w:val="en-US" w:eastAsia="zh-CN"/>
              </w:rPr>
              <w:t>药物</w:t>
            </w:r>
            <w:r>
              <w:rPr>
                <w:rFonts w:hint="default" w:ascii="Times New Roman" w:hAnsi="Times New Roman" w:eastAsia="宋体" w:cs="Times New Roman"/>
                <w:b w:val="0"/>
                <w:bCs w:val="0"/>
                <w:sz w:val="24"/>
                <w:szCs w:val="24"/>
                <w:highlight w:val="none"/>
              </w:rPr>
              <w:t>信息</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lang w:val="en-US" w:eastAsia="zh-CN"/>
              </w:rPr>
              <w:t>药房管理员进行审核后生效，也支持药房管理员直接添加药物信息，生效后</w:t>
            </w:r>
            <w:r>
              <w:rPr>
                <w:rFonts w:hint="default" w:ascii="Times New Roman" w:hAnsi="Times New Roman" w:eastAsia="宋体" w:cs="Times New Roman"/>
                <w:b w:val="0"/>
                <w:bCs w:val="0"/>
                <w:sz w:val="24"/>
                <w:szCs w:val="24"/>
                <w:highlight w:val="none"/>
              </w:rPr>
              <w:t>同步给HIS系统，实现试验用药品信息共享。</w:t>
            </w:r>
          </w:p>
        </w:tc>
      </w:tr>
      <w:tr w14:paraId="533DD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F222CE3">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36</w:t>
            </w:r>
          </w:p>
        </w:tc>
        <w:tc>
          <w:tcPr>
            <w:tcW w:w="414" w:type="dxa"/>
            <w:vMerge w:val="continue"/>
          </w:tcPr>
          <w:p w14:paraId="57A5C4D1">
            <w:pPr>
              <w:pStyle w:val="3"/>
              <w:numPr>
                <w:ilvl w:val="0"/>
                <w:numId w:val="0"/>
              </w:numPr>
              <w:ind w:right="291" w:rightChars="0"/>
              <w:rPr>
                <w:rFonts w:hint="eastAsia"/>
                <w:highlight w:val="none"/>
                <w:vertAlign w:val="baseline"/>
                <w:lang w:val="en-US" w:eastAsia="zh-CN"/>
              </w:rPr>
            </w:pPr>
          </w:p>
        </w:tc>
        <w:tc>
          <w:tcPr>
            <w:tcW w:w="902" w:type="dxa"/>
            <w:vMerge w:val="continue"/>
          </w:tcPr>
          <w:p w14:paraId="32B8FD29">
            <w:pPr>
              <w:pStyle w:val="3"/>
              <w:numPr>
                <w:ilvl w:val="0"/>
                <w:numId w:val="0"/>
              </w:numPr>
              <w:ind w:right="291" w:rightChars="0"/>
              <w:rPr>
                <w:rFonts w:hint="eastAsia"/>
                <w:highlight w:val="none"/>
                <w:vertAlign w:val="baseline"/>
                <w:lang w:val="en-US" w:eastAsia="zh-CN"/>
              </w:rPr>
            </w:pPr>
          </w:p>
        </w:tc>
        <w:tc>
          <w:tcPr>
            <w:tcW w:w="1040" w:type="dxa"/>
            <w:vMerge w:val="continue"/>
          </w:tcPr>
          <w:p w14:paraId="29FE7FF9">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6AA1C73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药物入库管理</w:t>
            </w:r>
          </w:p>
        </w:tc>
        <w:tc>
          <w:tcPr>
            <w:tcW w:w="4003" w:type="dxa"/>
            <w:shd w:val="clear" w:color="auto" w:fill="auto"/>
            <w:vAlign w:val="center"/>
          </w:tcPr>
          <w:p w14:paraId="0DE66F67">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0"/>
                <w:sz w:val="24"/>
                <w:szCs w:val="24"/>
                <w:highlight w:val="none"/>
                <w:lang w:val="en-US" w:eastAsia="zh-CN" w:bidi="ar-SA"/>
              </w:rPr>
            </w:pPr>
            <w:r>
              <w:rPr>
                <w:rFonts w:hint="default" w:ascii="Times New Roman" w:hAnsi="Times New Roman" w:eastAsia="宋体" w:cs="Times New Roman"/>
                <w:b w:val="0"/>
                <w:bCs w:val="0"/>
                <w:sz w:val="24"/>
                <w:szCs w:val="24"/>
                <w:highlight w:val="none"/>
                <w:lang w:val="en-US" w:eastAsia="zh-CN"/>
              </w:rPr>
              <w:t>支持CRA提交入库申请，药物管理员接收入库</w:t>
            </w:r>
            <w:r>
              <w:rPr>
                <w:rFonts w:hint="eastAsia"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支持有/无编码药、有/无包装药的差异化管理</w:t>
            </w:r>
            <w:r>
              <w:rPr>
                <w:rFonts w:hint="eastAsia"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支持按照医院要求配置药物入库审批流程</w:t>
            </w:r>
            <w:r>
              <w:rPr>
                <w:rFonts w:hint="default" w:ascii="Times New Roman" w:hAnsi="Times New Roman" w:eastAsia="宋体" w:cs="Times New Roman"/>
                <w:b w:val="0"/>
                <w:bCs w:val="0"/>
                <w:sz w:val="24"/>
                <w:szCs w:val="24"/>
                <w:highlight w:val="none"/>
              </w:rPr>
              <w:t>。</w:t>
            </w:r>
          </w:p>
        </w:tc>
      </w:tr>
      <w:tr w14:paraId="05573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1DB878B">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37</w:t>
            </w:r>
          </w:p>
        </w:tc>
        <w:tc>
          <w:tcPr>
            <w:tcW w:w="414" w:type="dxa"/>
            <w:vMerge w:val="continue"/>
          </w:tcPr>
          <w:p w14:paraId="2CAD3BE8">
            <w:pPr>
              <w:pStyle w:val="3"/>
              <w:numPr>
                <w:ilvl w:val="0"/>
                <w:numId w:val="0"/>
              </w:numPr>
              <w:ind w:right="291" w:rightChars="0"/>
              <w:rPr>
                <w:rFonts w:hint="eastAsia"/>
                <w:highlight w:val="none"/>
                <w:vertAlign w:val="baseline"/>
                <w:lang w:val="en-US" w:eastAsia="zh-CN"/>
              </w:rPr>
            </w:pPr>
          </w:p>
        </w:tc>
        <w:tc>
          <w:tcPr>
            <w:tcW w:w="902" w:type="dxa"/>
            <w:vMerge w:val="continue"/>
          </w:tcPr>
          <w:p w14:paraId="633FE7E6">
            <w:pPr>
              <w:pStyle w:val="3"/>
              <w:numPr>
                <w:ilvl w:val="0"/>
                <w:numId w:val="0"/>
              </w:numPr>
              <w:ind w:right="291" w:rightChars="0"/>
              <w:rPr>
                <w:rFonts w:hint="eastAsia"/>
                <w:highlight w:val="none"/>
                <w:vertAlign w:val="baseline"/>
                <w:lang w:val="en-US" w:eastAsia="zh-CN"/>
              </w:rPr>
            </w:pPr>
          </w:p>
        </w:tc>
        <w:tc>
          <w:tcPr>
            <w:tcW w:w="1040" w:type="dxa"/>
            <w:vMerge w:val="continue"/>
          </w:tcPr>
          <w:p w14:paraId="70C6E44F">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0BCD78E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药物库存管理</w:t>
            </w:r>
          </w:p>
        </w:tc>
        <w:tc>
          <w:tcPr>
            <w:tcW w:w="4003" w:type="dxa"/>
            <w:shd w:val="clear" w:color="auto" w:fill="auto"/>
            <w:vAlign w:val="center"/>
          </w:tcPr>
          <w:p w14:paraId="55D50B43">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sz w:val="24"/>
                <w:szCs w:val="24"/>
                <w:highlight w:val="none"/>
                <w:lang w:val="en-US" w:eastAsia="zh-CN"/>
              </w:rPr>
              <w:t>总览各药房的药物库存信息，支持按药房、按项目、按药物查询药物库存；支持药物出库管理；支持药物存储位置变更管理；支持药物隔离管理</w:t>
            </w:r>
            <w:r>
              <w:rPr>
                <w:rFonts w:hint="eastAsia" w:ascii="Times New Roman" w:hAnsi="Times New Roman" w:eastAsia="宋体" w:cs="Times New Roman"/>
                <w:b w:val="0"/>
                <w:bCs w:val="0"/>
                <w:sz w:val="24"/>
                <w:szCs w:val="24"/>
                <w:highlight w:val="none"/>
                <w:lang w:val="en-US" w:eastAsia="zh-CN"/>
              </w:rPr>
              <w:t>。</w:t>
            </w:r>
          </w:p>
        </w:tc>
      </w:tr>
      <w:tr w14:paraId="02972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45A2DAF">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38</w:t>
            </w:r>
          </w:p>
        </w:tc>
        <w:tc>
          <w:tcPr>
            <w:tcW w:w="414" w:type="dxa"/>
            <w:vMerge w:val="continue"/>
          </w:tcPr>
          <w:p w14:paraId="4F33775D">
            <w:pPr>
              <w:pStyle w:val="3"/>
              <w:numPr>
                <w:ilvl w:val="0"/>
                <w:numId w:val="0"/>
              </w:numPr>
              <w:ind w:right="291" w:rightChars="0"/>
              <w:rPr>
                <w:rFonts w:hint="eastAsia"/>
                <w:highlight w:val="none"/>
                <w:vertAlign w:val="baseline"/>
                <w:lang w:val="en-US" w:eastAsia="zh-CN"/>
              </w:rPr>
            </w:pPr>
          </w:p>
        </w:tc>
        <w:tc>
          <w:tcPr>
            <w:tcW w:w="902" w:type="dxa"/>
            <w:vMerge w:val="continue"/>
          </w:tcPr>
          <w:p w14:paraId="76B39A95">
            <w:pPr>
              <w:pStyle w:val="3"/>
              <w:numPr>
                <w:ilvl w:val="0"/>
                <w:numId w:val="0"/>
              </w:numPr>
              <w:ind w:right="291" w:rightChars="0"/>
              <w:rPr>
                <w:rFonts w:hint="eastAsia"/>
                <w:highlight w:val="none"/>
                <w:vertAlign w:val="baseline"/>
                <w:lang w:val="en-US" w:eastAsia="zh-CN"/>
              </w:rPr>
            </w:pPr>
          </w:p>
        </w:tc>
        <w:tc>
          <w:tcPr>
            <w:tcW w:w="1040" w:type="dxa"/>
            <w:vMerge w:val="continue"/>
          </w:tcPr>
          <w:p w14:paraId="6B840D62">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49166C4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库存盘点管理</w:t>
            </w:r>
          </w:p>
        </w:tc>
        <w:tc>
          <w:tcPr>
            <w:tcW w:w="4003" w:type="dxa"/>
            <w:shd w:val="clear" w:color="auto" w:fill="auto"/>
            <w:vAlign w:val="center"/>
          </w:tcPr>
          <w:p w14:paraId="0D908DF9">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sz w:val="24"/>
                <w:szCs w:val="24"/>
                <w:highlight w:val="none"/>
                <w:lang w:val="en-US" w:eastAsia="zh-CN"/>
              </w:rPr>
              <w:t>支持按药房对各项目的药物进行库存盘点</w:t>
            </w:r>
            <w:r>
              <w:rPr>
                <w:rFonts w:hint="eastAsia" w:ascii="Times New Roman" w:hAnsi="Times New Roman" w:eastAsia="宋体" w:cs="Times New Roman"/>
                <w:b w:val="0"/>
                <w:bCs w:val="0"/>
                <w:sz w:val="24"/>
                <w:szCs w:val="24"/>
                <w:highlight w:val="none"/>
                <w:lang w:val="en-US" w:eastAsia="zh-CN"/>
              </w:rPr>
              <w:t>，对于系统库存和实际库存有差异的，支持记录和调整。</w:t>
            </w:r>
          </w:p>
        </w:tc>
      </w:tr>
      <w:tr w14:paraId="18202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144EF47">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39</w:t>
            </w:r>
          </w:p>
        </w:tc>
        <w:tc>
          <w:tcPr>
            <w:tcW w:w="414" w:type="dxa"/>
            <w:vMerge w:val="continue"/>
          </w:tcPr>
          <w:p w14:paraId="6B6C9F10">
            <w:pPr>
              <w:pStyle w:val="3"/>
              <w:numPr>
                <w:ilvl w:val="0"/>
                <w:numId w:val="0"/>
              </w:numPr>
              <w:ind w:right="291" w:rightChars="0"/>
              <w:rPr>
                <w:rFonts w:hint="eastAsia"/>
                <w:highlight w:val="none"/>
                <w:vertAlign w:val="baseline"/>
                <w:lang w:val="en-US" w:eastAsia="zh-CN"/>
              </w:rPr>
            </w:pPr>
          </w:p>
        </w:tc>
        <w:tc>
          <w:tcPr>
            <w:tcW w:w="902" w:type="dxa"/>
            <w:vMerge w:val="continue"/>
          </w:tcPr>
          <w:p w14:paraId="3EB1A3B3">
            <w:pPr>
              <w:pStyle w:val="3"/>
              <w:numPr>
                <w:ilvl w:val="0"/>
                <w:numId w:val="0"/>
              </w:numPr>
              <w:ind w:right="291" w:rightChars="0"/>
              <w:rPr>
                <w:rFonts w:hint="eastAsia"/>
                <w:highlight w:val="none"/>
                <w:vertAlign w:val="baseline"/>
                <w:lang w:val="en-US" w:eastAsia="zh-CN"/>
              </w:rPr>
            </w:pPr>
          </w:p>
        </w:tc>
        <w:tc>
          <w:tcPr>
            <w:tcW w:w="1040" w:type="dxa"/>
            <w:vMerge w:val="continue"/>
          </w:tcPr>
          <w:p w14:paraId="56854E97">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2BC816C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处方发药与回收</w:t>
            </w:r>
          </w:p>
        </w:tc>
        <w:tc>
          <w:tcPr>
            <w:tcW w:w="4003" w:type="dxa"/>
            <w:shd w:val="clear" w:color="auto" w:fill="auto"/>
            <w:vAlign w:val="center"/>
          </w:tcPr>
          <w:p w14:paraId="42D2F8C7">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highlight w:val="none"/>
                <w:lang w:val="en-US" w:eastAsia="zh-CN" w:bidi="ar-SA"/>
              </w:rPr>
            </w:pPr>
            <w:r>
              <w:rPr>
                <w:rFonts w:hint="default" w:ascii="Times New Roman" w:hAnsi="Times New Roman" w:eastAsia="宋体" w:cs="Times New Roman"/>
                <w:b w:val="0"/>
                <w:bCs w:val="0"/>
                <w:sz w:val="24"/>
                <w:szCs w:val="24"/>
                <w:highlight w:val="none"/>
                <w:lang w:val="en-US" w:eastAsia="zh-CN"/>
              </w:rPr>
              <w:t>支持</w:t>
            </w:r>
            <w:r>
              <w:rPr>
                <w:rFonts w:hint="eastAsia" w:ascii="Times New Roman" w:hAnsi="Times New Roman" w:eastAsia="宋体" w:cs="Times New Roman"/>
                <w:b w:val="0"/>
                <w:bCs w:val="0"/>
                <w:sz w:val="24"/>
                <w:szCs w:val="24"/>
                <w:highlight w:val="none"/>
                <w:lang w:val="en-US" w:eastAsia="zh-CN"/>
              </w:rPr>
              <w:t>研究者在HIS系统上开具GCP药房的药品（具体到相应的药物编码），</w:t>
            </w:r>
            <w:r>
              <w:rPr>
                <w:rFonts w:hint="default" w:ascii="Times New Roman" w:hAnsi="Times New Roman" w:eastAsia="宋体" w:cs="Times New Roman"/>
                <w:b w:val="0"/>
                <w:bCs w:val="0"/>
                <w:sz w:val="24"/>
                <w:szCs w:val="24"/>
                <w:highlight w:val="none"/>
                <w:lang w:val="en-US" w:eastAsia="zh-CN"/>
              </w:rPr>
              <w:t>药物管理员根据研究者开立的处方发药；</w:t>
            </w:r>
            <w:r>
              <w:rPr>
                <w:rFonts w:hint="default" w:ascii="Times New Roman" w:hAnsi="Times New Roman" w:eastAsia="宋体" w:cs="Times New Roman"/>
                <w:b w:val="0"/>
                <w:bCs w:val="0"/>
                <w:sz w:val="24"/>
                <w:szCs w:val="24"/>
                <w:highlight w:val="none"/>
                <w:lang w:val="en-US"/>
              </w:rPr>
              <w:t>支持发药时自动根据处方上的</w:t>
            </w:r>
            <w:r>
              <w:rPr>
                <w:rFonts w:hint="default" w:ascii="Times New Roman" w:hAnsi="Times New Roman" w:eastAsia="宋体" w:cs="Times New Roman"/>
                <w:b w:val="0"/>
                <w:bCs w:val="0"/>
                <w:sz w:val="24"/>
                <w:szCs w:val="24"/>
                <w:highlight w:val="none"/>
                <w:lang w:val="en-US" w:eastAsia="zh-CN"/>
              </w:rPr>
              <w:t>药物编码</w:t>
            </w:r>
            <w:r>
              <w:rPr>
                <w:rFonts w:hint="default" w:ascii="Times New Roman" w:hAnsi="Times New Roman" w:eastAsia="宋体" w:cs="Times New Roman"/>
                <w:b w:val="0"/>
                <w:bCs w:val="0"/>
                <w:sz w:val="24"/>
                <w:szCs w:val="24"/>
                <w:highlight w:val="none"/>
                <w:lang w:val="en-US"/>
              </w:rPr>
              <w:t>，匹配药物库存</w:t>
            </w:r>
            <w:r>
              <w:rPr>
                <w:rFonts w:hint="eastAsia" w:ascii="Times New Roman" w:hAnsi="Times New Roman" w:eastAsia="宋体" w:cs="Times New Roman"/>
                <w:b w:val="0"/>
                <w:bCs w:val="0"/>
                <w:sz w:val="24"/>
                <w:szCs w:val="24"/>
                <w:highlight w:val="none"/>
                <w:lang w:val="en-US" w:eastAsia="zh-CN"/>
              </w:rPr>
              <w:t>；支持</w:t>
            </w:r>
            <w:r>
              <w:rPr>
                <w:rFonts w:hint="default" w:ascii="Times New Roman" w:hAnsi="Times New Roman" w:eastAsia="宋体" w:cs="Times New Roman"/>
                <w:b w:val="0"/>
                <w:bCs w:val="0"/>
                <w:sz w:val="24"/>
                <w:szCs w:val="24"/>
                <w:highlight w:val="none"/>
                <w:lang w:val="en-US" w:eastAsia="zh-CN"/>
              </w:rPr>
              <w:t>按处方进行</w:t>
            </w:r>
            <w:r>
              <w:rPr>
                <w:rFonts w:hint="eastAsia" w:ascii="Times New Roman" w:hAnsi="Times New Roman" w:eastAsia="宋体" w:cs="Times New Roman"/>
                <w:b w:val="0"/>
                <w:bCs w:val="0"/>
                <w:sz w:val="24"/>
                <w:szCs w:val="24"/>
                <w:highlight w:val="none"/>
                <w:lang w:val="en-US" w:eastAsia="zh-CN"/>
              </w:rPr>
              <w:t>药物</w:t>
            </w:r>
            <w:r>
              <w:rPr>
                <w:rFonts w:hint="default" w:ascii="Times New Roman" w:hAnsi="Times New Roman" w:eastAsia="宋体" w:cs="Times New Roman"/>
                <w:b w:val="0"/>
                <w:bCs w:val="0"/>
                <w:sz w:val="24"/>
                <w:szCs w:val="24"/>
                <w:highlight w:val="none"/>
                <w:lang w:val="en-US" w:eastAsia="zh-CN"/>
              </w:rPr>
              <w:t>回收</w:t>
            </w:r>
            <w:r>
              <w:rPr>
                <w:rFonts w:hint="eastAsia" w:ascii="Times New Roman" w:hAnsi="Times New Roman" w:eastAsia="宋体" w:cs="Times New Roman"/>
                <w:b w:val="0"/>
                <w:bCs w:val="0"/>
                <w:sz w:val="24"/>
                <w:szCs w:val="24"/>
                <w:highlight w:val="none"/>
                <w:lang w:val="en-US" w:eastAsia="zh-CN"/>
              </w:rPr>
              <w:t>。</w:t>
            </w:r>
          </w:p>
        </w:tc>
      </w:tr>
      <w:tr w14:paraId="4F26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F1E9C74">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40</w:t>
            </w:r>
          </w:p>
        </w:tc>
        <w:tc>
          <w:tcPr>
            <w:tcW w:w="414" w:type="dxa"/>
            <w:vMerge w:val="continue"/>
          </w:tcPr>
          <w:p w14:paraId="686B8158">
            <w:pPr>
              <w:pStyle w:val="3"/>
              <w:numPr>
                <w:ilvl w:val="0"/>
                <w:numId w:val="0"/>
              </w:numPr>
              <w:ind w:right="291" w:rightChars="0"/>
              <w:rPr>
                <w:rFonts w:hint="eastAsia"/>
                <w:highlight w:val="none"/>
                <w:vertAlign w:val="baseline"/>
                <w:lang w:val="en-US" w:eastAsia="zh-CN"/>
              </w:rPr>
            </w:pPr>
          </w:p>
        </w:tc>
        <w:tc>
          <w:tcPr>
            <w:tcW w:w="902" w:type="dxa"/>
            <w:vMerge w:val="continue"/>
          </w:tcPr>
          <w:p w14:paraId="718DAFE7">
            <w:pPr>
              <w:pStyle w:val="3"/>
              <w:numPr>
                <w:ilvl w:val="0"/>
                <w:numId w:val="0"/>
              </w:numPr>
              <w:ind w:right="291" w:rightChars="0"/>
              <w:rPr>
                <w:rFonts w:hint="eastAsia"/>
                <w:highlight w:val="none"/>
                <w:vertAlign w:val="baseline"/>
                <w:lang w:val="en-US" w:eastAsia="zh-CN"/>
              </w:rPr>
            </w:pPr>
          </w:p>
        </w:tc>
        <w:tc>
          <w:tcPr>
            <w:tcW w:w="1040" w:type="dxa"/>
            <w:vMerge w:val="continue"/>
          </w:tcPr>
          <w:p w14:paraId="5BC55CF0">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4691DBE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效期与库存预警</w:t>
            </w:r>
          </w:p>
        </w:tc>
        <w:tc>
          <w:tcPr>
            <w:tcW w:w="4003" w:type="dxa"/>
            <w:shd w:val="clear" w:color="auto" w:fill="auto"/>
            <w:vAlign w:val="center"/>
          </w:tcPr>
          <w:p w14:paraId="030A3FA2">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支持药物低库存和效期预警。对于临期和过期的药物自动隔离，支持解除隔离管理，所有轨迹均可查询。</w:t>
            </w:r>
          </w:p>
        </w:tc>
      </w:tr>
      <w:tr w14:paraId="00248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2169103">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41</w:t>
            </w:r>
          </w:p>
        </w:tc>
        <w:tc>
          <w:tcPr>
            <w:tcW w:w="414" w:type="dxa"/>
            <w:vMerge w:val="continue"/>
          </w:tcPr>
          <w:p w14:paraId="32B56D8E">
            <w:pPr>
              <w:pStyle w:val="3"/>
              <w:numPr>
                <w:ilvl w:val="0"/>
                <w:numId w:val="0"/>
              </w:numPr>
              <w:ind w:right="291" w:rightChars="0"/>
              <w:rPr>
                <w:rFonts w:hint="eastAsia"/>
                <w:highlight w:val="none"/>
                <w:vertAlign w:val="baseline"/>
                <w:lang w:val="en-US" w:eastAsia="zh-CN"/>
              </w:rPr>
            </w:pPr>
          </w:p>
        </w:tc>
        <w:tc>
          <w:tcPr>
            <w:tcW w:w="902" w:type="dxa"/>
            <w:vMerge w:val="continue"/>
          </w:tcPr>
          <w:p w14:paraId="1349D881">
            <w:pPr>
              <w:pStyle w:val="3"/>
              <w:numPr>
                <w:ilvl w:val="0"/>
                <w:numId w:val="0"/>
              </w:numPr>
              <w:ind w:right="291" w:rightChars="0"/>
              <w:rPr>
                <w:rFonts w:hint="eastAsia"/>
                <w:highlight w:val="none"/>
                <w:vertAlign w:val="baseline"/>
                <w:lang w:val="en-US" w:eastAsia="zh-CN"/>
              </w:rPr>
            </w:pPr>
          </w:p>
        </w:tc>
        <w:tc>
          <w:tcPr>
            <w:tcW w:w="1040" w:type="dxa"/>
            <w:vMerge w:val="continue"/>
          </w:tcPr>
          <w:p w14:paraId="716792F2">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2770508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温湿度管理</w:t>
            </w:r>
          </w:p>
        </w:tc>
        <w:tc>
          <w:tcPr>
            <w:tcW w:w="4003" w:type="dxa"/>
            <w:shd w:val="clear" w:color="auto" w:fill="auto"/>
            <w:vAlign w:val="center"/>
          </w:tcPr>
          <w:p w14:paraId="257E28D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支持设置温度和湿度阈值，依据温湿度记录自动进行超温/超湿预警。</w:t>
            </w:r>
          </w:p>
        </w:tc>
      </w:tr>
      <w:tr w14:paraId="17EF4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tcPr>
          <w:p w14:paraId="102EAA87">
            <w:pPr>
              <w:pStyle w:val="3"/>
              <w:numPr>
                <w:ilvl w:val="0"/>
                <w:numId w:val="0"/>
              </w:numPr>
              <w:ind w:right="291" w:rightChars="0"/>
              <w:rPr>
                <w:rFonts w:hint="default"/>
                <w:highlight w:val="none"/>
                <w:vertAlign w:val="baseline"/>
                <w:lang w:val="en-US" w:eastAsia="zh-CN"/>
              </w:rPr>
            </w:pPr>
            <w:r>
              <w:rPr>
                <w:rFonts w:hint="eastAsia"/>
                <w:highlight w:val="none"/>
                <w:vertAlign w:val="baseline"/>
                <w:lang w:val="en-US" w:eastAsia="zh-CN"/>
              </w:rPr>
              <w:t>42</w:t>
            </w:r>
          </w:p>
        </w:tc>
        <w:tc>
          <w:tcPr>
            <w:tcW w:w="414" w:type="dxa"/>
            <w:vMerge w:val="continue"/>
          </w:tcPr>
          <w:p w14:paraId="088A143F">
            <w:pPr>
              <w:pStyle w:val="3"/>
              <w:numPr>
                <w:ilvl w:val="0"/>
                <w:numId w:val="0"/>
              </w:numPr>
              <w:ind w:right="291" w:rightChars="0"/>
              <w:rPr>
                <w:rFonts w:hint="eastAsia"/>
                <w:highlight w:val="none"/>
                <w:vertAlign w:val="baseline"/>
                <w:lang w:val="en-US" w:eastAsia="zh-CN"/>
              </w:rPr>
            </w:pPr>
          </w:p>
        </w:tc>
        <w:tc>
          <w:tcPr>
            <w:tcW w:w="902" w:type="dxa"/>
            <w:vMerge w:val="continue"/>
          </w:tcPr>
          <w:p w14:paraId="7B532575">
            <w:pPr>
              <w:pStyle w:val="3"/>
              <w:numPr>
                <w:ilvl w:val="0"/>
                <w:numId w:val="0"/>
              </w:numPr>
              <w:ind w:right="291" w:rightChars="0"/>
              <w:rPr>
                <w:rFonts w:hint="eastAsia"/>
                <w:highlight w:val="none"/>
                <w:vertAlign w:val="baseline"/>
                <w:lang w:val="en-US" w:eastAsia="zh-CN"/>
              </w:rPr>
            </w:pPr>
          </w:p>
        </w:tc>
        <w:tc>
          <w:tcPr>
            <w:tcW w:w="1040" w:type="dxa"/>
            <w:vMerge w:val="continue"/>
          </w:tcPr>
          <w:p w14:paraId="3F04DF66">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776D7EE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auto"/>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CN" w:bidi="ar"/>
              </w:rPr>
              <w:t>药物存储设备管理</w:t>
            </w:r>
          </w:p>
        </w:tc>
        <w:tc>
          <w:tcPr>
            <w:tcW w:w="4003" w:type="dxa"/>
            <w:shd w:val="clear" w:color="auto" w:fill="auto"/>
            <w:vAlign w:val="center"/>
          </w:tcPr>
          <w:p w14:paraId="45391AB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color w:val="auto"/>
                <w:kern w:val="0"/>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rPr>
              <w:t>支持药房的冰箱等存储</w:t>
            </w:r>
            <w:r>
              <w:rPr>
                <w:rFonts w:hint="default" w:ascii="Times New Roman" w:hAnsi="Times New Roman" w:eastAsia="宋体" w:cs="Times New Roman"/>
                <w:b w:val="0"/>
                <w:bCs w:val="0"/>
                <w:color w:val="auto"/>
                <w:sz w:val="24"/>
                <w:szCs w:val="24"/>
                <w:highlight w:val="none"/>
                <w:lang w:val="en-US"/>
              </w:rPr>
              <w:t>设备管理功能，包括</w:t>
            </w:r>
            <w:r>
              <w:rPr>
                <w:rFonts w:hint="default" w:ascii="Times New Roman" w:hAnsi="Times New Roman" w:eastAsia="宋体" w:cs="Times New Roman"/>
                <w:b w:val="0"/>
                <w:bCs w:val="0"/>
                <w:color w:val="auto"/>
                <w:sz w:val="24"/>
                <w:szCs w:val="24"/>
                <w:highlight w:val="none"/>
                <w:lang w:val="en-US" w:eastAsia="zh-CN"/>
              </w:rPr>
              <w:t>设备添加、启用/停用、</w:t>
            </w:r>
            <w:r>
              <w:rPr>
                <w:rFonts w:hint="default" w:ascii="Times New Roman" w:hAnsi="Times New Roman" w:eastAsia="宋体" w:cs="Times New Roman"/>
                <w:b w:val="0"/>
                <w:bCs w:val="0"/>
                <w:color w:val="auto"/>
                <w:sz w:val="24"/>
                <w:szCs w:val="24"/>
                <w:highlight w:val="none"/>
                <w:lang w:val="en-US"/>
              </w:rPr>
              <w:t>校准</w:t>
            </w:r>
            <w:r>
              <w:rPr>
                <w:rFonts w:hint="default" w:ascii="Times New Roman" w:hAnsi="Times New Roman" w:eastAsia="宋体" w:cs="Times New Roman"/>
                <w:b w:val="0"/>
                <w:bCs w:val="0"/>
                <w:color w:val="auto"/>
                <w:sz w:val="24"/>
                <w:szCs w:val="24"/>
                <w:highlight w:val="none"/>
                <w:lang w:val="en-US" w:eastAsia="zh-CN"/>
              </w:rPr>
              <w:t>管理、</w:t>
            </w:r>
            <w:r>
              <w:rPr>
                <w:rFonts w:hint="default" w:ascii="Times New Roman" w:hAnsi="Times New Roman" w:eastAsia="宋体" w:cs="Times New Roman"/>
                <w:b w:val="0"/>
                <w:bCs w:val="0"/>
                <w:color w:val="auto"/>
                <w:sz w:val="24"/>
                <w:szCs w:val="24"/>
                <w:highlight w:val="none"/>
                <w:lang w:val="en-US"/>
              </w:rPr>
              <w:t>使用</w:t>
            </w:r>
            <w:r>
              <w:rPr>
                <w:rFonts w:hint="eastAsia" w:ascii="Times New Roman" w:hAnsi="Times New Roman" w:eastAsia="宋体" w:cs="Times New Roman"/>
                <w:b w:val="0"/>
                <w:bCs w:val="0"/>
                <w:color w:val="auto"/>
                <w:sz w:val="24"/>
                <w:szCs w:val="24"/>
                <w:highlight w:val="none"/>
                <w:lang w:val="en-US" w:eastAsia="zh-CN"/>
              </w:rPr>
              <w:t>记录；支持院外设备来院申请管理。</w:t>
            </w:r>
          </w:p>
        </w:tc>
      </w:tr>
      <w:tr w14:paraId="7E182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E59EB0B">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cstheme="minorBidi"/>
                <w:kern w:val="0"/>
                <w:sz w:val="21"/>
                <w:szCs w:val="24"/>
                <w:highlight w:val="none"/>
                <w:vertAlign w:val="baseline"/>
                <w:lang w:val="en-US" w:eastAsia="zh-CN" w:bidi="ar-SA"/>
              </w:rPr>
              <w:t>43</w:t>
            </w:r>
          </w:p>
        </w:tc>
        <w:tc>
          <w:tcPr>
            <w:tcW w:w="414" w:type="dxa"/>
            <w:vMerge w:val="continue"/>
          </w:tcPr>
          <w:p w14:paraId="36141DFF">
            <w:pPr>
              <w:pStyle w:val="3"/>
              <w:numPr>
                <w:ilvl w:val="0"/>
                <w:numId w:val="0"/>
              </w:numPr>
              <w:ind w:right="291" w:rightChars="0"/>
              <w:rPr>
                <w:rFonts w:hint="eastAsia"/>
                <w:highlight w:val="none"/>
                <w:vertAlign w:val="baseline"/>
                <w:lang w:val="en-US" w:eastAsia="zh-CN"/>
              </w:rPr>
            </w:pPr>
          </w:p>
        </w:tc>
        <w:tc>
          <w:tcPr>
            <w:tcW w:w="902" w:type="dxa"/>
            <w:vMerge w:val="restart"/>
          </w:tcPr>
          <w:p w14:paraId="3F278293">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受试者管理</w:t>
            </w:r>
          </w:p>
        </w:tc>
        <w:tc>
          <w:tcPr>
            <w:tcW w:w="1040" w:type="dxa"/>
            <w:shd w:val="clear" w:color="auto" w:fill="auto"/>
            <w:vAlign w:val="center"/>
          </w:tcPr>
          <w:p w14:paraId="4B16D4C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研究团队管理</w:t>
            </w:r>
          </w:p>
        </w:tc>
        <w:tc>
          <w:tcPr>
            <w:tcW w:w="1721" w:type="dxa"/>
            <w:shd w:val="clear" w:color="auto" w:fill="auto"/>
            <w:vAlign w:val="center"/>
          </w:tcPr>
          <w:p w14:paraId="65D70C3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研究团队授权管理</w:t>
            </w:r>
          </w:p>
        </w:tc>
        <w:tc>
          <w:tcPr>
            <w:tcW w:w="4003" w:type="dxa"/>
            <w:shd w:val="clear" w:color="auto" w:fill="auto"/>
            <w:vAlign w:val="center"/>
          </w:tcPr>
          <w:p w14:paraId="3A6DC335">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highlight w:val="none"/>
                <w:lang w:val="en-US" w:eastAsia="zh-CN"/>
              </w:rPr>
            </w:pPr>
            <w:r>
              <w:rPr>
                <w:rFonts w:hint="default" w:ascii="Times New Roman" w:hAnsi="Times New Roman" w:eastAsia="宋体" w:cs="Times New Roman"/>
                <w:b w:val="0"/>
                <w:bCs w:val="0"/>
                <w:sz w:val="24"/>
                <w:szCs w:val="24"/>
                <w:highlight w:val="none"/>
              </w:rPr>
              <w:t>支持管理研究</w:t>
            </w:r>
            <w:r>
              <w:rPr>
                <w:rFonts w:hint="eastAsia" w:ascii="Times New Roman" w:hAnsi="Times New Roman" w:eastAsia="宋体" w:cs="Times New Roman"/>
                <w:b w:val="0"/>
                <w:bCs w:val="0"/>
                <w:sz w:val="24"/>
                <w:szCs w:val="24"/>
                <w:highlight w:val="none"/>
                <w:lang w:val="en-US" w:eastAsia="zh-CN"/>
              </w:rPr>
              <w:t>团队</w:t>
            </w:r>
            <w:r>
              <w:rPr>
                <w:rFonts w:hint="default" w:ascii="Times New Roman" w:hAnsi="Times New Roman" w:eastAsia="宋体" w:cs="Times New Roman"/>
                <w:b w:val="0"/>
                <w:bCs w:val="0"/>
                <w:sz w:val="24"/>
                <w:szCs w:val="24"/>
                <w:highlight w:val="none"/>
              </w:rPr>
              <w:t>成员的角色</w:t>
            </w:r>
            <w:r>
              <w:rPr>
                <w:rFonts w:hint="eastAsia" w:ascii="Times New Roman" w:hAnsi="Times New Roman" w:eastAsia="宋体" w:cs="Times New Roman"/>
                <w:b w:val="0"/>
                <w:bCs w:val="0"/>
                <w:sz w:val="24"/>
                <w:szCs w:val="24"/>
                <w:highlight w:val="none"/>
                <w:lang w:eastAsia="zh-CN"/>
              </w:rPr>
              <w:t>、</w:t>
            </w:r>
            <w:r>
              <w:rPr>
                <w:rFonts w:hint="default" w:ascii="Times New Roman" w:hAnsi="Times New Roman" w:eastAsia="宋体" w:cs="Times New Roman"/>
                <w:b w:val="0"/>
                <w:bCs w:val="0"/>
                <w:sz w:val="24"/>
                <w:szCs w:val="24"/>
                <w:highlight w:val="none"/>
              </w:rPr>
              <w:t>职责和</w:t>
            </w:r>
            <w:r>
              <w:rPr>
                <w:rFonts w:hint="eastAsia" w:ascii="Times New Roman" w:hAnsi="Times New Roman" w:eastAsia="宋体" w:cs="Times New Roman"/>
                <w:b w:val="0"/>
                <w:bCs w:val="0"/>
                <w:sz w:val="24"/>
                <w:szCs w:val="24"/>
                <w:highlight w:val="none"/>
                <w:lang w:val="en-US" w:eastAsia="zh-CN"/>
              </w:rPr>
              <w:t>权限</w:t>
            </w:r>
            <w:r>
              <w:rPr>
                <w:rFonts w:hint="default"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rPr>
              <w:t>支持</w:t>
            </w:r>
            <w:r>
              <w:rPr>
                <w:rFonts w:hint="eastAsia" w:ascii="Times New Roman" w:hAnsi="Times New Roman" w:eastAsia="宋体" w:cs="Times New Roman"/>
                <w:b w:val="0"/>
                <w:bCs w:val="0"/>
                <w:sz w:val="24"/>
                <w:szCs w:val="24"/>
                <w:highlight w:val="none"/>
                <w:lang w:val="en-US" w:eastAsia="zh-CN"/>
              </w:rPr>
              <w:t>机构办</w:t>
            </w:r>
            <w:r>
              <w:rPr>
                <w:rFonts w:hint="default" w:ascii="Times New Roman" w:hAnsi="Times New Roman" w:eastAsia="宋体" w:cs="Times New Roman"/>
                <w:b w:val="0"/>
                <w:bCs w:val="0"/>
                <w:sz w:val="24"/>
                <w:szCs w:val="24"/>
                <w:highlight w:val="none"/>
              </w:rPr>
              <w:t>对研究团队成员授权、审核和变更管理</w:t>
            </w:r>
            <w:r>
              <w:rPr>
                <w:rFonts w:hint="default"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rPr>
              <w:t>支持</w:t>
            </w:r>
            <w:r>
              <w:rPr>
                <w:rFonts w:hint="default" w:ascii="Times New Roman" w:hAnsi="Times New Roman" w:eastAsia="宋体" w:cs="Times New Roman"/>
                <w:b w:val="0"/>
                <w:bCs w:val="0"/>
                <w:sz w:val="24"/>
                <w:szCs w:val="24"/>
                <w:highlight w:val="none"/>
                <w:lang w:val="en-US" w:eastAsia="zh-CN"/>
              </w:rPr>
              <w:t>按照医院要求配置研究团队审批流程</w:t>
            </w:r>
            <w:r>
              <w:rPr>
                <w:rFonts w:hint="eastAsia"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rPr>
              <w:t>支持PI和Sub-I权限自动同步门诊系统和住院系统</w:t>
            </w:r>
            <w:r>
              <w:rPr>
                <w:rFonts w:hint="eastAsia" w:ascii="Times New Roman" w:hAnsi="Times New Roman" w:eastAsia="宋体" w:cs="Times New Roman"/>
                <w:b w:val="0"/>
                <w:bCs w:val="0"/>
                <w:sz w:val="24"/>
                <w:szCs w:val="24"/>
                <w:highlight w:val="none"/>
                <w:lang w:eastAsia="zh-CN"/>
              </w:rPr>
              <w:t>。</w:t>
            </w:r>
          </w:p>
        </w:tc>
      </w:tr>
      <w:tr w14:paraId="5E576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785A360">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44</w:t>
            </w:r>
          </w:p>
        </w:tc>
        <w:tc>
          <w:tcPr>
            <w:tcW w:w="414" w:type="dxa"/>
            <w:vMerge w:val="continue"/>
          </w:tcPr>
          <w:p w14:paraId="622C0DDC">
            <w:pPr>
              <w:pStyle w:val="3"/>
              <w:numPr>
                <w:ilvl w:val="0"/>
                <w:numId w:val="0"/>
              </w:numPr>
              <w:ind w:right="291" w:rightChars="0"/>
              <w:rPr>
                <w:rFonts w:hint="eastAsia"/>
                <w:highlight w:val="none"/>
                <w:vertAlign w:val="baseline"/>
                <w:lang w:val="en-US" w:eastAsia="zh-CN"/>
              </w:rPr>
            </w:pPr>
          </w:p>
        </w:tc>
        <w:tc>
          <w:tcPr>
            <w:tcW w:w="902" w:type="dxa"/>
            <w:vMerge w:val="continue"/>
          </w:tcPr>
          <w:p w14:paraId="341AF0A9">
            <w:pPr>
              <w:pStyle w:val="3"/>
              <w:numPr>
                <w:ilvl w:val="0"/>
                <w:numId w:val="0"/>
              </w:numPr>
              <w:ind w:right="291" w:rightChars="0"/>
              <w:rPr>
                <w:rFonts w:hint="eastAsia"/>
                <w:highlight w:val="none"/>
                <w:vertAlign w:val="baseline"/>
                <w:lang w:val="en-US" w:eastAsia="zh-CN"/>
              </w:rPr>
            </w:pPr>
          </w:p>
        </w:tc>
        <w:tc>
          <w:tcPr>
            <w:tcW w:w="1040" w:type="dxa"/>
            <w:vMerge w:val="restart"/>
          </w:tcPr>
          <w:p w14:paraId="04D21D54">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研究方案管理</w:t>
            </w:r>
          </w:p>
        </w:tc>
        <w:tc>
          <w:tcPr>
            <w:tcW w:w="1721" w:type="dxa"/>
            <w:shd w:val="clear" w:color="auto" w:fill="auto"/>
            <w:vAlign w:val="center"/>
          </w:tcPr>
          <w:p w14:paraId="2C324DD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研究方案配置</w:t>
            </w:r>
          </w:p>
        </w:tc>
        <w:tc>
          <w:tcPr>
            <w:tcW w:w="4003" w:type="dxa"/>
            <w:shd w:val="clear" w:color="auto" w:fill="auto"/>
            <w:vAlign w:val="center"/>
          </w:tcPr>
          <w:p w14:paraId="3E92F094">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highlight w:val="none"/>
                <w:lang w:val="en-US" w:eastAsia="zh-CN"/>
              </w:rPr>
              <w:t>支持维护电子化研究方案，包括维护</w:t>
            </w:r>
            <w:r>
              <w:rPr>
                <w:rFonts w:hint="default" w:ascii="Times New Roman" w:hAnsi="Times New Roman" w:eastAsia="宋体" w:cs="Times New Roman"/>
                <w:b w:val="0"/>
                <w:bCs w:val="0"/>
                <w:sz w:val="24"/>
                <w:szCs w:val="24"/>
                <w:highlight w:val="none"/>
              </w:rPr>
              <w:t>访视计划，包含访视阶段、访视名称、访视类型、访视窗信息的设置</w:t>
            </w:r>
            <w:r>
              <w:rPr>
                <w:rFonts w:hint="eastAsia" w:ascii="Times New Roman" w:hAnsi="Times New Roman" w:eastAsia="宋体" w:cs="Times New Roman"/>
                <w:b w:val="0"/>
                <w:bCs w:val="0"/>
                <w:sz w:val="24"/>
                <w:szCs w:val="24"/>
                <w:highlight w:val="none"/>
                <w:lang w:eastAsia="zh-CN"/>
              </w:rPr>
              <w:t>，</w:t>
            </w:r>
            <w:r>
              <w:rPr>
                <w:rFonts w:hint="default" w:ascii="Times New Roman" w:hAnsi="Times New Roman" w:eastAsia="宋体" w:cs="Times New Roman"/>
                <w:b w:val="0"/>
                <w:bCs w:val="0"/>
                <w:sz w:val="24"/>
                <w:szCs w:val="24"/>
                <w:highlight w:val="none"/>
              </w:rPr>
              <w:t>支持</w:t>
            </w:r>
            <w:r>
              <w:rPr>
                <w:rFonts w:hint="default" w:ascii="Times New Roman" w:hAnsi="Times New Roman" w:eastAsia="宋体" w:cs="Times New Roman"/>
                <w:b w:val="0"/>
                <w:bCs w:val="0"/>
                <w:sz w:val="24"/>
                <w:szCs w:val="24"/>
                <w:highlight w:val="none"/>
                <w:lang w:val="en-US" w:eastAsia="zh-CN"/>
              </w:rPr>
              <w:t>自</w:t>
            </w:r>
            <w:r>
              <w:rPr>
                <w:rFonts w:hint="default" w:ascii="Times New Roman" w:hAnsi="Times New Roman" w:eastAsia="宋体" w:cs="Times New Roman"/>
                <w:b w:val="0"/>
                <w:bCs w:val="0"/>
                <w:sz w:val="24"/>
                <w:szCs w:val="24"/>
                <w:highlight w:val="none"/>
              </w:rPr>
              <w:t>定义多个</w:t>
            </w:r>
            <w:r>
              <w:rPr>
                <w:rFonts w:hint="default" w:ascii="Times New Roman" w:hAnsi="Times New Roman" w:eastAsia="宋体" w:cs="Times New Roman"/>
                <w:b w:val="0"/>
                <w:bCs w:val="0"/>
                <w:sz w:val="24"/>
                <w:szCs w:val="24"/>
                <w:highlight w:val="none"/>
                <w:lang w:val="en-US" w:eastAsia="zh-CN"/>
              </w:rPr>
              <w:t>访视</w:t>
            </w:r>
            <w:r>
              <w:rPr>
                <w:rFonts w:hint="default" w:ascii="Times New Roman" w:hAnsi="Times New Roman" w:eastAsia="宋体" w:cs="Times New Roman"/>
                <w:b w:val="0"/>
                <w:bCs w:val="0"/>
                <w:sz w:val="24"/>
                <w:szCs w:val="24"/>
                <w:highlight w:val="none"/>
              </w:rPr>
              <w:t>计划或者组别；</w:t>
            </w:r>
            <w:r>
              <w:rPr>
                <w:rFonts w:hint="default" w:ascii="Times New Roman" w:hAnsi="Times New Roman" w:eastAsia="宋体" w:cs="Times New Roman"/>
                <w:b w:val="0"/>
                <w:bCs w:val="0"/>
                <w:sz w:val="24"/>
                <w:szCs w:val="24"/>
                <w:highlight w:val="none"/>
                <w:lang w:val="en-US"/>
              </w:rPr>
              <w:t>支持计划外访视设计</w:t>
            </w:r>
            <w:r>
              <w:rPr>
                <w:rFonts w:hint="default" w:ascii="Times New Roman" w:hAnsi="Times New Roman" w:eastAsia="宋体" w:cs="Times New Roman"/>
                <w:b w:val="0"/>
                <w:bCs w:val="0"/>
                <w:sz w:val="24"/>
                <w:szCs w:val="24"/>
                <w:highlight w:val="none"/>
                <w:lang w:val="en-US" w:eastAsia="zh-CN"/>
              </w:rPr>
              <w:t>；</w:t>
            </w:r>
            <w:r>
              <w:rPr>
                <w:rFonts w:hint="eastAsia" w:ascii="Times New Roman" w:hAnsi="Times New Roman" w:eastAsia="宋体" w:cs="Times New Roman"/>
                <w:b w:val="0"/>
                <w:bCs w:val="0"/>
                <w:sz w:val="24"/>
                <w:szCs w:val="24"/>
                <w:highlight w:val="none"/>
                <w:lang w:val="en-US" w:eastAsia="zh-CN"/>
              </w:rPr>
              <w:t>支持维护访视套餐，</w:t>
            </w:r>
            <w:r>
              <w:rPr>
                <w:rFonts w:hint="default" w:ascii="Times New Roman" w:hAnsi="Times New Roman" w:eastAsia="宋体" w:cs="Times New Roman"/>
                <w:b w:val="0"/>
                <w:bCs w:val="0"/>
                <w:sz w:val="24"/>
                <w:szCs w:val="24"/>
                <w:highlight w:val="none"/>
              </w:rPr>
              <w:t>访视套餐</w:t>
            </w:r>
            <w:r>
              <w:rPr>
                <w:rFonts w:hint="eastAsia" w:ascii="Times New Roman" w:hAnsi="Times New Roman" w:eastAsia="宋体" w:cs="Times New Roman"/>
                <w:b w:val="0"/>
                <w:bCs w:val="0"/>
                <w:sz w:val="24"/>
                <w:szCs w:val="24"/>
                <w:highlight w:val="none"/>
                <w:lang w:val="en-US" w:eastAsia="zh-CN"/>
              </w:rPr>
              <w:t>包括</w:t>
            </w:r>
            <w:r>
              <w:rPr>
                <w:rFonts w:hint="default" w:ascii="Times New Roman" w:hAnsi="Times New Roman" w:eastAsia="宋体" w:cs="Times New Roman"/>
                <w:b w:val="0"/>
                <w:bCs w:val="0"/>
                <w:sz w:val="24"/>
                <w:szCs w:val="24"/>
                <w:highlight w:val="none"/>
              </w:rPr>
              <w:t>GCP</w:t>
            </w:r>
            <w:r>
              <w:rPr>
                <w:rFonts w:hint="default" w:ascii="Times New Roman" w:hAnsi="Times New Roman" w:eastAsia="宋体" w:cs="Times New Roman"/>
                <w:b w:val="0"/>
                <w:bCs w:val="0"/>
                <w:sz w:val="24"/>
                <w:szCs w:val="24"/>
                <w:highlight w:val="none"/>
                <w:lang w:val="en-US" w:eastAsia="zh-CN"/>
              </w:rPr>
              <w:t>药物医嘱</w:t>
            </w:r>
            <w:r>
              <w:rPr>
                <w:rFonts w:hint="default" w:ascii="Times New Roman" w:hAnsi="Times New Roman" w:eastAsia="宋体" w:cs="Times New Roman"/>
                <w:b w:val="0"/>
                <w:bCs w:val="0"/>
                <w:sz w:val="24"/>
                <w:szCs w:val="24"/>
                <w:highlight w:val="none"/>
              </w:rPr>
              <w:t>、检验申请、检查申请及</w:t>
            </w:r>
            <w:r>
              <w:rPr>
                <w:rFonts w:hint="default" w:ascii="Times New Roman" w:hAnsi="Times New Roman" w:eastAsia="宋体" w:cs="Times New Roman"/>
                <w:b w:val="0"/>
                <w:bCs w:val="0"/>
                <w:sz w:val="24"/>
                <w:szCs w:val="24"/>
                <w:highlight w:val="none"/>
                <w:lang w:val="en-US" w:eastAsia="zh-CN"/>
              </w:rPr>
              <w:t>其他</w:t>
            </w:r>
            <w:r>
              <w:rPr>
                <w:rFonts w:hint="default" w:ascii="Times New Roman" w:hAnsi="Times New Roman" w:eastAsia="宋体" w:cs="Times New Roman"/>
                <w:b w:val="0"/>
                <w:bCs w:val="0"/>
                <w:sz w:val="24"/>
                <w:szCs w:val="24"/>
                <w:highlight w:val="none"/>
              </w:rPr>
              <w:t>医嘱等；</w:t>
            </w:r>
            <w:r>
              <w:rPr>
                <w:rFonts w:hint="eastAsia" w:ascii="Times New Roman" w:hAnsi="Times New Roman" w:eastAsia="宋体" w:cs="Times New Roman"/>
                <w:b w:val="0"/>
                <w:bCs w:val="0"/>
                <w:sz w:val="24"/>
                <w:szCs w:val="24"/>
                <w:highlight w:val="none"/>
                <w:lang w:val="en-US" w:eastAsia="zh-CN"/>
              </w:rPr>
              <w:t>支持维护禁用药字典；支持维护纳入排除标准。</w:t>
            </w:r>
            <w:r>
              <w:rPr>
                <w:rFonts w:hint="default" w:ascii="Times New Roman" w:hAnsi="Times New Roman" w:eastAsia="宋体" w:cs="Times New Roman"/>
                <w:b w:val="0"/>
                <w:bCs w:val="0"/>
                <w:sz w:val="24"/>
                <w:szCs w:val="24"/>
                <w:highlight w:val="none"/>
                <w:lang w:val="en-US" w:eastAsia="zh-CN"/>
              </w:rPr>
              <w:t>支持</w:t>
            </w:r>
            <w:r>
              <w:rPr>
                <w:rFonts w:hint="eastAsia" w:ascii="Times New Roman" w:hAnsi="Times New Roman" w:eastAsia="宋体" w:cs="Times New Roman"/>
                <w:b w:val="0"/>
                <w:bCs w:val="0"/>
                <w:sz w:val="24"/>
                <w:szCs w:val="24"/>
                <w:highlight w:val="none"/>
                <w:lang w:val="en-US" w:eastAsia="zh-CN"/>
              </w:rPr>
              <w:t>按照医院要求配置</w:t>
            </w:r>
            <w:r>
              <w:rPr>
                <w:rFonts w:hint="default" w:ascii="Times New Roman" w:hAnsi="Times New Roman" w:eastAsia="宋体" w:cs="Times New Roman"/>
                <w:b w:val="0"/>
                <w:bCs w:val="0"/>
                <w:sz w:val="24"/>
                <w:szCs w:val="24"/>
                <w:highlight w:val="none"/>
                <w:lang w:val="en-US" w:eastAsia="zh-CN"/>
              </w:rPr>
              <w:t>研究方案</w:t>
            </w:r>
            <w:r>
              <w:rPr>
                <w:rFonts w:hint="eastAsia" w:ascii="Times New Roman" w:hAnsi="Times New Roman" w:eastAsia="宋体" w:cs="Times New Roman"/>
                <w:b w:val="0"/>
                <w:bCs w:val="0"/>
                <w:sz w:val="24"/>
                <w:szCs w:val="24"/>
                <w:highlight w:val="none"/>
                <w:lang w:val="en-US" w:eastAsia="zh-CN"/>
              </w:rPr>
              <w:t>的审核流程，支持方案的</w:t>
            </w:r>
            <w:r>
              <w:rPr>
                <w:rFonts w:hint="default" w:ascii="Times New Roman" w:hAnsi="Times New Roman" w:eastAsia="宋体" w:cs="Times New Roman"/>
                <w:b w:val="0"/>
                <w:bCs w:val="0"/>
                <w:sz w:val="24"/>
                <w:szCs w:val="24"/>
                <w:highlight w:val="none"/>
                <w:lang w:val="en-US" w:eastAsia="zh-CN"/>
              </w:rPr>
              <w:t>修改和变更管理。</w:t>
            </w:r>
          </w:p>
        </w:tc>
      </w:tr>
      <w:tr w14:paraId="795F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F187A82">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45</w:t>
            </w:r>
          </w:p>
        </w:tc>
        <w:tc>
          <w:tcPr>
            <w:tcW w:w="414" w:type="dxa"/>
            <w:vMerge w:val="continue"/>
          </w:tcPr>
          <w:p w14:paraId="6BB1F13C">
            <w:pPr>
              <w:pStyle w:val="3"/>
              <w:numPr>
                <w:ilvl w:val="0"/>
                <w:numId w:val="0"/>
              </w:numPr>
              <w:ind w:right="291" w:rightChars="0"/>
              <w:rPr>
                <w:rFonts w:hint="eastAsia"/>
                <w:highlight w:val="none"/>
                <w:vertAlign w:val="baseline"/>
                <w:lang w:val="en-US" w:eastAsia="zh-CN"/>
              </w:rPr>
            </w:pPr>
          </w:p>
        </w:tc>
        <w:tc>
          <w:tcPr>
            <w:tcW w:w="902" w:type="dxa"/>
            <w:vMerge w:val="continue"/>
          </w:tcPr>
          <w:p w14:paraId="17D851EE">
            <w:pPr>
              <w:pStyle w:val="3"/>
              <w:numPr>
                <w:ilvl w:val="0"/>
                <w:numId w:val="0"/>
              </w:numPr>
              <w:ind w:right="291" w:rightChars="0"/>
              <w:rPr>
                <w:rFonts w:hint="eastAsia"/>
                <w:highlight w:val="none"/>
                <w:vertAlign w:val="baseline"/>
                <w:lang w:val="en-US" w:eastAsia="zh-CN"/>
              </w:rPr>
            </w:pPr>
          </w:p>
        </w:tc>
        <w:tc>
          <w:tcPr>
            <w:tcW w:w="1040" w:type="dxa"/>
            <w:vMerge w:val="continue"/>
          </w:tcPr>
          <w:p w14:paraId="7CFE672C">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4CF1D46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研究病历模版配置</w:t>
            </w:r>
          </w:p>
        </w:tc>
        <w:tc>
          <w:tcPr>
            <w:tcW w:w="4003" w:type="dxa"/>
            <w:shd w:val="clear" w:color="auto" w:fill="auto"/>
            <w:vAlign w:val="center"/>
          </w:tcPr>
          <w:p w14:paraId="03899502">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sz w:val="24"/>
                <w:szCs w:val="24"/>
                <w:highlight w:val="none"/>
                <w:lang w:val="en-US"/>
              </w:rPr>
              <w:t>支持根据科室、项目或者疾病研究的要求，</w:t>
            </w:r>
            <w:r>
              <w:rPr>
                <w:rFonts w:hint="eastAsia" w:ascii="Times New Roman" w:hAnsi="Times New Roman" w:eastAsia="宋体" w:cs="Times New Roman"/>
                <w:b w:val="0"/>
                <w:bCs w:val="0"/>
                <w:sz w:val="24"/>
                <w:szCs w:val="24"/>
                <w:highlight w:val="none"/>
                <w:lang w:val="en-US" w:eastAsia="zh-CN"/>
              </w:rPr>
              <w:t>自定义研究病历模版，</w:t>
            </w:r>
            <w:r>
              <w:rPr>
                <w:rFonts w:hint="default" w:ascii="Times New Roman" w:hAnsi="Times New Roman" w:eastAsia="宋体" w:cs="Times New Roman"/>
                <w:b w:val="0"/>
                <w:bCs w:val="0"/>
                <w:sz w:val="24"/>
                <w:szCs w:val="24"/>
                <w:highlight w:val="none"/>
              </w:rPr>
              <w:t>支持为每个访视关联研究病历模板</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lang w:val="en-US" w:eastAsia="zh-CN"/>
              </w:rPr>
              <w:t>支持按照医院要求配置研究病历模版的审核流程，支持研究病历模版的修改和变更管理。</w:t>
            </w:r>
          </w:p>
        </w:tc>
      </w:tr>
      <w:tr w14:paraId="20648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C82CA11">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46</w:t>
            </w:r>
          </w:p>
        </w:tc>
        <w:tc>
          <w:tcPr>
            <w:tcW w:w="414" w:type="dxa"/>
            <w:vMerge w:val="continue"/>
          </w:tcPr>
          <w:p w14:paraId="40E9E7BB">
            <w:pPr>
              <w:pStyle w:val="3"/>
              <w:numPr>
                <w:ilvl w:val="0"/>
                <w:numId w:val="0"/>
              </w:numPr>
              <w:ind w:right="291" w:rightChars="0"/>
              <w:rPr>
                <w:rFonts w:hint="eastAsia"/>
                <w:highlight w:val="none"/>
                <w:vertAlign w:val="baseline"/>
                <w:lang w:val="en-US" w:eastAsia="zh-CN"/>
              </w:rPr>
            </w:pPr>
          </w:p>
        </w:tc>
        <w:tc>
          <w:tcPr>
            <w:tcW w:w="902" w:type="dxa"/>
            <w:vMerge w:val="continue"/>
          </w:tcPr>
          <w:p w14:paraId="6C704700">
            <w:pPr>
              <w:pStyle w:val="3"/>
              <w:numPr>
                <w:ilvl w:val="0"/>
                <w:numId w:val="0"/>
              </w:numPr>
              <w:ind w:right="291" w:rightChars="0"/>
              <w:rPr>
                <w:rFonts w:hint="eastAsia"/>
                <w:highlight w:val="none"/>
                <w:vertAlign w:val="baseline"/>
                <w:lang w:val="en-US" w:eastAsia="zh-CN"/>
              </w:rPr>
            </w:pPr>
          </w:p>
        </w:tc>
        <w:tc>
          <w:tcPr>
            <w:tcW w:w="1040" w:type="dxa"/>
            <w:vMerge w:val="restart"/>
          </w:tcPr>
          <w:p w14:paraId="2F8CF9BA">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受试者管理</w:t>
            </w:r>
          </w:p>
        </w:tc>
        <w:tc>
          <w:tcPr>
            <w:tcW w:w="1721" w:type="dxa"/>
            <w:shd w:val="clear" w:color="auto" w:fill="auto"/>
            <w:vAlign w:val="center"/>
          </w:tcPr>
          <w:p w14:paraId="565F084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受试者管理</w:t>
            </w:r>
          </w:p>
        </w:tc>
        <w:tc>
          <w:tcPr>
            <w:tcW w:w="4003" w:type="dxa"/>
            <w:shd w:val="clear" w:color="auto" w:fill="auto"/>
            <w:vAlign w:val="center"/>
          </w:tcPr>
          <w:p w14:paraId="41F1E7ED">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与医院相关信息系统对接，可一键添加和管理受试者，实现受试者身份标记、访视任务执行引导和风险管控：</w:t>
            </w:r>
          </w:p>
          <w:p w14:paraId="56BE13DE">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 xml:space="preserve">(1)一键添加患者到临床试验，实现医生在诊间标记受试者； </w:t>
            </w:r>
          </w:p>
          <w:p w14:paraId="7FD978D4">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 xml:space="preserve">(2)与医院检验、检查、收费等系统对接，针对受试者进行特殊标识展示，快速识别当前患者是临床试验的受试者； </w:t>
            </w:r>
          </w:p>
          <w:p w14:paraId="21ED73E7">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(3)具备受试者管理相关功能，系统可自动判断受试者和研究医生身份是否属于同一项目，并开放相应权限，包括：查看访视计划、写研究病历、下达研究医嘱、查看研究方案、管理受试者状态；</w:t>
            </w:r>
          </w:p>
          <w:p w14:paraId="409E167B">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(4)书写研究病历：依据访视计划自动匹配研究病历模版，住院临床试验研究病历纳入病程记录。</w:t>
            </w:r>
          </w:p>
          <w:p w14:paraId="6BB627A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(5)病历数据导入：写研究病历时支持同屏展示患者近期的院内用药记录，研究者可根据时间区间查询并选择用药记录导入研究病历；</w:t>
            </w:r>
          </w:p>
          <w:p w14:paraId="68363617">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(6)通过“GCP医嘱套餐”一键下达研究医嘱，漏选套餐内项目时给出提示；</w:t>
            </w:r>
          </w:p>
          <w:p w14:paraId="75258C2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(7)处方分方：普通药物处方和试验用药品处方自动分方，试验用药品处方自动同步到GCP中心药房/二级药房；普通药物处方自动同步到医院相应的药房。</w:t>
            </w:r>
          </w:p>
          <w:p w14:paraId="6B39D79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(8)费用拆分：通过“GCP医嘱套餐”下达的医嘱项目自动打GCP标记；受试者因处理不良事件（与试验相关）所需的检验检查及药品进行GCP标记，患者免费；需患者自费的检验检查项目、药品由患者自行承担。实现对检验/检查项目、药品分单和标记；</w:t>
            </w:r>
          </w:p>
          <w:p w14:paraId="7EEA66B5">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(9)用药风险提醒：支持维护各项目禁用药物名单，处理医嘱时，弹框提示当前受试者的用药风险信息；</w:t>
            </w:r>
          </w:p>
          <w:p w14:paraId="02C211F1">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(10)开具药物处方时，自动判定禁用药医嘱，拦截和预警禁用药处方；</w:t>
            </w:r>
          </w:p>
          <w:p w14:paraId="773BA8D9">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(11)受试者访视信息记录：知情信息记录、纳入排除判断、受试者状态变更（筛选、纳入/排除、入组、完成/退出等状态）；</w:t>
            </w:r>
          </w:p>
          <w:p w14:paraId="1C6EF18D">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highlight w:val="none"/>
              </w:rPr>
            </w:pPr>
            <w:r>
              <w:rPr>
                <w:rFonts w:hint="eastAsia" w:ascii="Times New Roman" w:hAnsi="Times New Roman" w:eastAsia="宋体" w:cs="Times New Roman"/>
                <w:b w:val="0"/>
                <w:bCs w:val="0"/>
                <w:sz w:val="24"/>
                <w:szCs w:val="24"/>
                <w:highlight w:val="none"/>
                <w:lang w:val="en-US" w:eastAsia="zh-CN"/>
              </w:rPr>
              <w:t>(12)支持计划外访视，新增计划外访视时，自定义访视名称，匹配计划外访视病历模板、下达免费医嘱。实现</w:t>
            </w:r>
            <w:r>
              <w:rPr>
                <w:rFonts w:hint="eastAsia" w:ascii="Times New Roman" w:hAnsi="Times New Roman" w:eastAsia="宋体" w:cs="Times New Roman"/>
                <w:b w:val="0"/>
                <w:bCs w:val="0"/>
                <w:sz w:val="24"/>
                <w:szCs w:val="24"/>
                <w:highlight w:val="none"/>
              </w:rPr>
              <w:t>受试者入组后自动匹配访视计划</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rPr>
              <w:t>支持受试者访视进度一览，查看历次访视</w:t>
            </w:r>
            <w:r>
              <w:rPr>
                <w:rFonts w:hint="eastAsia" w:ascii="Times New Roman" w:hAnsi="Times New Roman" w:eastAsia="宋体" w:cs="Times New Roman"/>
                <w:b w:val="0"/>
                <w:bCs w:val="0"/>
                <w:sz w:val="24"/>
                <w:szCs w:val="24"/>
                <w:highlight w:val="none"/>
                <w:lang w:val="en-US" w:eastAsia="zh-CN"/>
              </w:rPr>
              <w:t>病历和医嘱、检验检查报告、不良事件记录、</w:t>
            </w:r>
            <w:r>
              <w:rPr>
                <w:rFonts w:hint="eastAsia" w:ascii="Times New Roman" w:hAnsi="Times New Roman" w:eastAsia="宋体" w:cs="Times New Roman"/>
                <w:b w:val="0"/>
                <w:bCs w:val="0"/>
                <w:sz w:val="24"/>
                <w:szCs w:val="24"/>
                <w:highlight w:val="none"/>
              </w:rPr>
              <w:t>360视图</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rPr>
              <w:t>支持访视窗自动计算、超窗预警</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lang w:val="en-US" w:eastAsia="zh-CN"/>
              </w:rPr>
              <w:t>支持</w:t>
            </w:r>
            <w:r>
              <w:rPr>
                <w:rFonts w:hint="eastAsia" w:ascii="Times New Roman" w:hAnsi="Times New Roman" w:eastAsia="宋体" w:cs="Times New Roman"/>
                <w:b w:val="0"/>
                <w:bCs w:val="0"/>
                <w:sz w:val="24"/>
                <w:szCs w:val="24"/>
                <w:highlight w:val="none"/>
              </w:rPr>
              <w:t>计划外访视</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lang w:val="en-US" w:eastAsia="zh-CN"/>
              </w:rPr>
              <w:t>支持门诊访视、住院访视和电话随访</w:t>
            </w:r>
            <w:r>
              <w:rPr>
                <w:rFonts w:hint="eastAsia" w:ascii="Times New Roman" w:hAnsi="Times New Roman" w:eastAsia="宋体" w:cs="Times New Roman"/>
                <w:b w:val="0"/>
                <w:bCs w:val="0"/>
                <w:sz w:val="24"/>
                <w:szCs w:val="24"/>
                <w:highlight w:val="none"/>
              </w:rPr>
              <w:t>。支持受试者筛选、纳入、排除、入组、完成/脱落、退出等状态管理。</w:t>
            </w:r>
          </w:p>
          <w:p w14:paraId="2A7E4FDF">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（13）大众可通过微信公众号查看在研项目信息，在线咨询或报名参与项目，实现简易版受试者招募。</w:t>
            </w:r>
          </w:p>
        </w:tc>
      </w:tr>
      <w:tr w14:paraId="7E883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5A60FFD">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47</w:t>
            </w:r>
          </w:p>
        </w:tc>
        <w:tc>
          <w:tcPr>
            <w:tcW w:w="414" w:type="dxa"/>
            <w:vMerge w:val="continue"/>
          </w:tcPr>
          <w:p w14:paraId="4F4874E6">
            <w:pPr>
              <w:pStyle w:val="3"/>
              <w:numPr>
                <w:ilvl w:val="0"/>
                <w:numId w:val="0"/>
              </w:numPr>
              <w:ind w:right="291" w:rightChars="0"/>
              <w:rPr>
                <w:rFonts w:hint="eastAsia"/>
                <w:highlight w:val="none"/>
                <w:vertAlign w:val="baseline"/>
                <w:lang w:val="en-US" w:eastAsia="zh-CN"/>
              </w:rPr>
            </w:pPr>
          </w:p>
        </w:tc>
        <w:tc>
          <w:tcPr>
            <w:tcW w:w="902" w:type="dxa"/>
            <w:vMerge w:val="continue"/>
          </w:tcPr>
          <w:p w14:paraId="3C6374BE">
            <w:pPr>
              <w:pStyle w:val="3"/>
              <w:numPr>
                <w:ilvl w:val="0"/>
                <w:numId w:val="0"/>
              </w:numPr>
              <w:ind w:right="291" w:rightChars="0"/>
              <w:rPr>
                <w:rFonts w:hint="eastAsia"/>
                <w:highlight w:val="none"/>
                <w:vertAlign w:val="baseline"/>
                <w:lang w:val="en-US" w:eastAsia="zh-CN"/>
              </w:rPr>
            </w:pPr>
          </w:p>
        </w:tc>
        <w:tc>
          <w:tcPr>
            <w:tcW w:w="1040" w:type="dxa"/>
            <w:vMerge w:val="continue"/>
          </w:tcPr>
          <w:p w14:paraId="6AB27816">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5DD0E85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受试者访视开单</w:t>
            </w:r>
          </w:p>
        </w:tc>
        <w:tc>
          <w:tcPr>
            <w:tcW w:w="4003" w:type="dxa"/>
            <w:shd w:val="clear" w:color="auto" w:fill="auto"/>
            <w:vAlign w:val="center"/>
          </w:tcPr>
          <w:p w14:paraId="220636AF">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firstLine="0"/>
              <w:jc w:val="left"/>
              <w:rPr>
                <w:rFonts w:hint="eastAsia"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实现依据受试者访视进度，通过“访视套餐”开具检验申请单、检查申请单、试验用药品处方及其他需要对受试者免费治疗的药物医嘱或者治疗的功能。实现通过“访视套餐”开具的申请及医嘱均实现对受试者免费。支持提供功能模块，</w:t>
            </w:r>
            <w:r>
              <w:rPr>
                <w:rFonts w:hint="eastAsia" w:ascii="Times New Roman" w:hAnsi="Times New Roman" w:eastAsia="宋体" w:cs="Times New Roman"/>
                <w:b w:val="0"/>
                <w:bCs w:val="0"/>
                <w:sz w:val="24"/>
                <w:szCs w:val="24"/>
                <w:highlight w:val="none"/>
              </w:rPr>
              <w:t>实现门诊电子病历系统</w:t>
            </w:r>
            <w:r>
              <w:rPr>
                <w:rFonts w:hint="eastAsia" w:ascii="Times New Roman" w:hAnsi="Times New Roman" w:eastAsia="宋体" w:cs="Times New Roman"/>
                <w:b w:val="0"/>
                <w:bCs w:val="0"/>
                <w:sz w:val="24"/>
                <w:szCs w:val="24"/>
                <w:highlight w:val="none"/>
                <w:lang w:val="en-US" w:eastAsia="zh-CN"/>
              </w:rPr>
              <w:t>和住院电子病历</w:t>
            </w:r>
            <w:r>
              <w:rPr>
                <w:rFonts w:hint="eastAsia" w:ascii="Times New Roman" w:hAnsi="Times New Roman" w:eastAsia="宋体" w:cs="Times New Roman"/>
                <w:b w:val="0"/>
                <w:bCs w:val="0"/>
                <w:sz w:val="24"/>
                <w:szCs w:val="24"/>
                <w:highlight w:val="none"/>
              </w:rPr>
              <w:t>读取本次所建系统的访视套餐进行医嘱下达</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lang w:val="en-US" w:eastAsia="zh-CN"/>
              </w:rPr>
              <w:t>且研究医生无需切换系统。</w:t>
            </w:r>
          </w:p>
          <w:p w14:paraId="6D6ABDCD">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highlight w:val="none"/>
                <w:lang w:val="en-US" w:eastAsia="zh-CN"/>
              </w:rPr>
              <w:t>通过套餐开具的“GCP药物处方”，支持自动同步到药物管理模块，供药物管理员查看处方并依据处方进行发药。</w:t>
            </w:r>
          </w:p>
        </w:tc>
      </w:tr>
      <w:tr w14:paraId="40ED9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46401A0">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48</w:t>
            </w:r>
          </w:p>
        </w:tc>
        <w:tc>
          <w:tcPr>
            <w:tcW w:w="414" w:type="dxa"/>
            <w:vMerge w:val="continue"/>
          </w:tcPr>
          <w:p w14:paraId="4DDC4649">
            <w:pPr>
              <w:pStyle w:val="3"/>
              <w:numPr>
                <w:ilvl w:val="0"/>
                <w:numId w:val="0"/>
              </w:numPr>
              <w:ind w:right="291" w:rightChars="0"/>
              <w:rPr>
                <w:rFonts w:hint="eastAsia"/>
                <w:highlight w:val="none"/>
                <w:vertAlign w:val="baseline"/>
                <w:lang w:val="en-US" w:eastAsia="zh-CN"/>
              </w:rPr>
            </w:pPr>
          </w:p>
        </w:tc>
        <w:tc>
          <w:tcPr>
            <w:tcW w:w="902" w:type="dxa"/>
            <w:vMerge w:val="continue"/>
          </w:tcPr>
          <w:p w14:paraId="52C42D3F">
            <w:pPr>
              <w:pStyle w:val="3"/>
              <w:numPr>
                <w:ilvl w:val="0"/>
                <w:numId w:val="0"/>
              </w:numPr>
              <w:ind w:right="291" w:rightChars="0"/>
              <w:rPr>
                <w:rFonts w:hint="eastAsia"/>
                <w:highlight w:val="none"/>
                <w:vertAlign w:val="baseline"/>
                <w:lang w:val="en-US" w:eastAsia="zh-CN"/>
              </w:rPr>
            </w:pPr>
          </w:p>
        </w:tc>
        <w:tc>
          <w:tcPr>
            <w:tcW w:w="1040" w:type="dxa"/>
            <w:vMerge w:val="continue"/>
          </w:tcPr>
          <w:p w14:paraId="02B67C0D">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642656A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受试者访视日历</w:t>
            </w:r>
          </w:p>
        </w:tc>
        <w:tc>
          <w:tcPr>
            <w:tcW w:w="4003" w:type="dxa"/>
            <w:shd w:val="clear" w:color="auto" w:fill="auto"/>
            <w:vAlign w:val="center"/>
          </w:tcPr>
          <w:p w14:paraId="280EDEAB">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highlight w:val="none"/>
                <w:lang w:val="en-US" w:eastAsia="zh-CN"/>
              </w:rPr>
            </w:pPr>
            <w:r>
              <w:rPr>
                <w:rFonts w:hint="eastAsia" w:ascii="Times New Roman" w:hAnsi="Times New Roman" w:eastAsia="宋体" w:cs="Times New Roman"/>
                <w:b w:val="0"/>
                <w:bCs w:val="0"/>
                <w:sz w:val="24"/>
                <w:szCs w:val="24"/>
                <w:highlight w:val="none"/>
                <w:lang w:val="en-US" w:eastAsia="zh-CN"/>
              </w:rPr>
              <w:t>实现在线可查看每个项目/每个受试者的访视阶段、访视时间，以日历的形式展现。</w:t>
            </w:r>
          </w:p>
        </w:tc>
      </w:tr>
      <w:tr w14:paraId="03FA4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9CD4A7D">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49</w:t>
            </w:r>
          </w:p>
        </w:tc>
        <w:tc>
          <w:tcPr>
            <w:tcW w:w="414" w:type="dxa"/>
            <w:vMerge w:val="continue"/>
          </w:tcPr>
          <w:p w14:paraId="57CD9EE3">
            <w:pPr>
              <w:pStyle w:val="3"/>
              <w:numPr>
                <w:ilvl w:val="0"/>
                <w:numId w:val="0"/>
              </w:numPr>
              <w:ind w:right="291" w:rightChars="0"/>
              <w:rPr>
                <w:rFonts w:hint="eastAsia"/>
                <w:highlight w:val="none"/>
                <w:vertAlign w:val="baseline"/>
                <w:lang w:val="en-US" w:eastAsia="zh-CN"/>
              </w:rPr>
            </w:pPr>
          </w:p>
        </w:tc>
        <w:tc>
          <w:tcPr>
            <w:tcW w:w="902" w:type="dxa"/>
            <w:vMerge w:val="continue"/>
          </w:tcPr>
          <w:p w14:paraId="59AAAB98">
            <w:pPr>
              <w:pStyle w:val="3"/>
              <w:numPr>
                <w:ilvl w:val="0"/>
                <w:numId w:val="0"/>
              </w:numPr>
              <w:ind w:right="291" w:rightChars="0"/>
              <w:rPr>
                <w:rFonts w:hint="eastAsia"/>
                <w:highlight w:val="none"/>
                <w:vertAlign w:val="baseline"/>
                <w:lang w:val="en-US" w:eastAsia="zh-CN"/>
              </w:rPr>
            </w:pPr>
          </w:p>
        </w:tc>
        <w:tc>
          <w:tcPr>
            <w:tcW w:w="1040" w:type="dxa"/>
            <w:vMerge w:val="continue"/>
          </w:tcPr>
          <w:p w14:paraId="7CE2B6A9">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395CA30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受试者访视病历书写</w:t>
            </w:r>
          </w:p>
        </w:tc>
        <w:tc>
          <w:tcPr>
            <w:tcW w:w="4003" w:type="dxa"/>
            <w:shd w:val="clear" w:color="auto" w:fill="auto"/>
            <w:vAlign w:val="center"/>
          </w:tcPr>
          <w:p w14:paraId="76D46D19">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highlight w:val="none"/>
                <w:lang w:val="en-US" w:eastAsia="zh-CN"/>
              </w:rPr>
              <w:t>实现依据研究方案配置的研究病历模版，自动根据访视匹配相应模板供研究医生书写，研究医生无需手动查找研究病历模版。支持研究医生书写访视病历时，同屏</w:t>
            </w:r>
            <w:r>
              <w:rPr>
                <w:rFonts w:hint="eastAsia" w:ascii="Times New Roman" w:hAnsi="Times New Roman" w:eastAsia="宋体" w:cs="Times New Roman"/>
                <w:b w:val="0"/>
                <w:bCs w:val="0"/>
                <w:sz w:val="24"/>
                <w:szCs w:val="24"/>
                <w:highlight w:val="none"/>
              </w:rPr>
              <w:t>导入合并用药、检验报告、检查报告数据到研究病历</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lang w:val="en-US" w:eastAsia="zh-CN"/>
              </w:rPr>
              <w:t>支持提供功能模块，实现门诊电子病历系统和住院电子病历系统</w:t>
            </w:r>
            <w:r>
              <w:rPr>
                <w:rFonts w:hint="eastAsia" w:ascii="Times New Roman" w:hAnsi="Times New Roman" w:eastAsia="宋体" w:cs="Times New Roman"/>
                <w:b w:val="0"/>
                <w:bCs w:val="0"/>
                <w:sz w:val="24"/>
                <w:szCs w:val="24"/>
                <w:highlight w:val="none"/>
              </w:rPr>
              <w:t>读取</w:t>
            </w:r>
            <w:r>
              <w:rPr>
                <w:rFonts w:hint="eastAsia" w:ascii="Times New Roman" w:hAnsi="Times New Roman" w:eastAsia="宋体" w:cs="Times New Roman"/>
                <w:b w:val="0"/>
                <w:bCs w:val="0"/>
                <w:sz w:val="24"/>
                <w:szCs w:val="24"/>
                <w:highlight w:val="none"/>
                <w:lang w:eastAsia="zh-CN"/>
              </w:rPr>
              <w:t>本次所建系统</w:t>
            </w:r>
            <w:r>
              <w:rPr>
                <w:rFonts w:hint="eastAsia" w:ascii="Times New Roman" w:hAnsi="Times New Roman" w:eastAsia="宋体" w:cs="Times New Roman"/>
                <w:b w:val="0"/>
                <w:bCs w:val="0"/>
                <w:sz w:val="24"/>
                <w:szCs w:val="24"/>
                <w:highlight w:val="none"/>
              </w:rPr>
              <w:t>研究病历</w:t>
            </w:r>
            <w:r>
              <w:rPr>
                <w:rFonts w:hint="eastAsia" w:ascii="Times New Roman" w:hAnsi="Times New Roman" w:eastAsia="宋体" w:cs="Times New Roman"/>
                <w:b w:val="0"/>
                <w:bCs w:val="0"/>
                <w:sz w:val="24"/>
                <w:szCs w:val="24"/>
                <w:highlight w:val="none"/>
                <w:lang w:val="en-US" w:eastAsia="zh-CN"/>
              </w:rPr>
              <w:t>模板</w:t>
            </w:r>
            <w:r>
              <w:rPr>
                <w:rFonts w:hint="eastAsia" w:ascii="Times New Roman" w:hAnsi="Times New Roman" w:eastAsia="宋体" w:cs="Times New Roman"/>
                <w:b w:val="0"/>
                <w:bCs w:val="0"/>
                <w:sz w:val="24"/>
                <w:szCs w:val="24"/>
                <w:highlight w:val="none"/>
              </w:rPr>
              <w:t>进行填写</w:t>
            </w:r>
            <w:r>
              <w:rPr>
                <w:rFonts w:hint="eastAsia" w:ascii="Times New Roman" w:hAnsi="Times New Roman" w:eastAsia="宋体" w:cs="Times New Roman"/>
                <w:b w:val="0"/>
                <w:bCs w:val="0"/>
                <w:sz w:val="24"/>
                <w:szCs w:val="24"/>
                <w:highlight w:val="none"/>
                <w:lang w:val="en-US" w:eastAsia="zh-CN"/>
              </w:rPr>
              <w:t>和</w:t>
            </w:r>
            <w:r>
              <w:rPr>
                <w:rFonts w:hint="eastAsia" w:ascii="Times New Roman" w:hAnsi="Times New Roman" w:eastAsia="宋体" w:cs="Times New Roman"/>
                <w:b w:val="0"/>
                <w:bCs w:val="0"/>
                <w:sz w:val="24"/>
                <w:szCs w:val="24"/>
                <w:highlight w:val="none"/>
              </w:rPr>
              <w:t>保存</w:t>
            </w:r>
            <w:r>
              <w:rPr>
                <w:rFonts w:hint="eastAsia" w:ascii="Times New Roman" w:hAnsi="Times New Roman" w:eastAsia="宋体" w:cs="Times New Roman"/>
                <w:b w:val="0"/>
                <w:bCs w:val="0"/>
                <w:sz w:val="24"/>
                <w:szCs w:val="24"/>
                <w:highlight w:val="none"/>
                <w:lang w:eastAsia="zh-CN"/>
              </w:rPr>
              <w:t>。</w:t>
            </w:r>
          </w:p>
        </w:tc>
      </w:tr>
      <w:tr w14:paraId="61D1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056B1C5">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50</w:t>
            </w:r>
          </w:p>
        </w:tc>
        <w:tc>
          <w:tcPr>
            <w:tcW w:w="414" w:type="dxa"/>
            <w:vMerge w:val="continue"/>
          </w:tcPr>
          <w:p w14:paraId="2E666C27">
            <w:pPr>
              <w:pStyle w:val="3"/>
              <w:numPr>
                <w:ilvl w:val="0"/>
                <w:numId w:val="0"/>
              </w:numPr>
              <w:ind w:right="291" w:rightChars="0"/>
              <w:rPr>
                <w:rFonts w:hint="eastAsia"/>
                <w:highlight w:val="none"/>
                <w:vertAlign w:val="baseline"/>
                <w:lang w:val="en-US" w:eastAsia="zh-CN"/>
              </w:rPr>
            </w:pPr>
          </w:p>
        </w:tc>
        <w:tc>
          <w:tcPr>
            <w:tcW w:w="902" w:type="dxa"/>
            <w:vMerge w:val="continue"/>
          </w:tcPr>
          <w:p w14:paraId="7F286770">
            <w:pPr>
              <w:pStyle w:val="3"/>
              <w:numPr>
                <w:ilvl w:val="0"/>
                <w:numId w:val="0"/>
              </w:numPr>
              <w:ind w:right="291" w:rightChars="0"/>
              <w:rPr>
                <w:rFonts w:hint="eastAsia"/>
                <w:highlight w:val="none"/>
                <w:vertAlign w:val="baseline"/>
                <w:lang w:val="en-US" w:eastAsia="zh-CN"/>
              </w:rPr>
            </w:pPr>
          </w:p>
        </w:tc>
        <w:tc>
          <w:tcPr>
            <w:tcW w:w="1040" w:type="dxa"/>
            <w:vMerge w:val="continue"/>
          </w:tcPr>
          <w:p w14:paraId="7C44CE47">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1C2211F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检验检查报告在线判定</w:t>
            </w:r>
          </w:p>
        </w:tc>
        <w:tc>
          <w:tcPr>
            <w:tcW w:w="4003" w:type="dxa"/>
            <w:shd w:val="clear" w:color="auto" w:fill="auto"/>
            <w:vAlign w:val="center"/>
          </w:tcPr>
          <w:p w14:paraId="30A85383">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highlight w:val="none"/>
                <w:lang w:val="en-US" w:eastAsia="zh-CN"/>
              </w:rPr>
              <w:t>支持研究者</w:t>
            </w:r>
            <w:r>
              <w:rPr>
                <w:rFonts w:hint="eastAsia" w:ascii="Times New Roman" w:hAnsi="Times New Roman" w:eastAsia="宋体" w:cs="Times New Roman"/>
                <w:b w:val="0"/>
                <w:bCs w:val="0"/>
                <w:sz w:val="24"/>
                <w:szCs w:val="24"/>
                <w:highlight w:val="none"/>
              </w:rPr>
              <w:t>查看</w:t>
            </w:r>
            <w:r>
              <w:rPr>
                <w:rFonts w:hint="eastAsia" w:ascii="Times New Roman" w:hAnsi="Times New Roman" w:eastAsia="宋体" w:cs="Times New Roman"/>
                <w:b w:val="0"/>
                <w:bCs w:val="0"/>
                <w:sz w:val="24"/>
                <w:szCs w:val="24"/>
                <w:highlight w:val="none"/>
                <w:lang w:val="en-US" w:eastAsia="zh-CN"/>
              </w:rPr>
              <w:t>受试者的</w:t>
            </w:r>
            <w:r>
              <w:rPr>
                <w:rFonts w:hint="eastAsia" w:ascii="Times New Roman" w:hAnsi="Times New Roman" w:eastAsia="宋体" w:cs="Times New Roman"/>
                <w:b w:val="0"/>
                <w:bCs w:val="0"/>
                <w:sz w:val="24"/>
                <w:szCs w:val="24"/>
                <w:highlight w:val="none"/>
              </w:rPr>
              <w:t>检验检查报告，对</w:t>
            </w:r>
            <w:r>
              <w:rPr>
                <w:rFonts w:hint="eastAsia" w:ascii="Times New Roman" w:hAnsi="Times New Roman" w:eastAsia="宋体" w:cs="Times New Roman"/>
                <w:b w:val="0"/>
                <w:bCs w:val="0"/>
                <w:sz w:val="24"/>
                <w:szCs w:val="24"/>
                <w:highlight w:val="none"/>
                <w:lang w:val="en-US" w:eastAsia="zh-CN"/>
              </w:rPr>
              <w:t>检验</w:t>
            </w:r>
            <w:r>
              <w:rPr>
                <w:rFonts w:hint="eastAsia" w:ascii="Times New Roman" w:hAnsi="Times New Roman" w:eastAsia="宋体" w:cs="Times New Roman"/>
                <w:b w:val="0"/>
                <w:bCs w:val="0"/>
                <w:sz w:val="24"/>
                <w:szCs w:val="24"/>
                <w:highlight w:val="none"/>
              </w:rPr>
              <w:t>异常检验项</w:t>
            </w:r>
            <w:r>
              <w:rPr>
                <w:rFonts w:hint="eastAsia" w:ascii="Times New Roman" w:hAnsi="Times New Roman" w:eastAsia="宋体" w:cs="Times New Roman"/>
                <w:b w:val="0"/>
                <w:bCs w:val="0"/>
                <w:sz w:val="24"/>
                <w:szCs w:val="24"/>
                <w:highlight w:val="none"/>
                <w:lang w:val="en-US" w:eastAsia="zh-CN"/>
              </w:rPr>
              <w:t>和检查报告</w:t>
            </w:r>
            <w:r>
              <w:rPr>
                <w:rFonts w:hint="eastAsia" w:ascii="Times New Roman" w:hAnsi="Times New Roman" w:eastAsia="宋体" w:cs="Times New Roman"/>
                <w:b w:val="0"/>
                <w:bCs w:val="0"/>
                <w:sz w:val="24"/>
                <w:szCs w:val="24"/>
                <w:highlight w:val="none"/>
              </w:rPr>
              <w:t>逐个进行 CS/NCS 判定</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lang w:val="en-US" w:eastAsia="zh-CN"/>
              </w:rPr>
              <w:t>支持下载判定后检验报告</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lang w:val="en-US" w:eastAsia="zh-CN"/>
              </w:rPr>
              <w:t>当报告有异常值时，系统自动提醒医生判定。</w:t>
            </w:r>
          </w:p>
        </w:tc>
      </w:tr>
      <w:tr w14:paraId="7331C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CE8A17E">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51</w:t>
            </w:r>
          </w:p>
        </w:tc>
        <w:tc>
          <w:tcPr>
            <w:tcW w:w="414" w:type="dxa"/>
            <w:vMerge w:val="continue"/>
          </w:tcPr>
          <w:p w14:paraId="59B99A32">
            <w:pPr>
              <w:pStyle w:val="3"/>
              <w:numPr>
                <w:ilvl w:val="0"/>
                <w:numId w:val="0"/>
              </w:numPr>
              <w:ind w:right="291" w:rightChars="0"/>
              <w:rPr>
                <w:rFonts w:hint="eastAsia"/>
                <w:highlight w:val="none"/>
                <w:vertAlign w:val="baseline"/>
                <w:lang w:val="en-US" w:eastAsia="zh-CN"/>
              </w:rPr>
            </w:pPr>
          </w:p>
        </w:tc>
        <w:tc>
          <w:tcPr>
            <w:tcW w:w="902" w:type="dxa"/>
            <w:vMerge w:val="continue"/>
          </w:tcPr>
          <w:p w14:paraId="7672AB06">
            <w:pPr>
              <w:pStyle w:val="3"/>
              <w:numPr>
                <w:ilvl w:val="0"/>
                <w:numId w:val="0"/>
              </w:numPr>
              <w:ind w:right="291" w:rightChars="0"/>
              <w:rPr>
                <w:rFonts w:hint="eastAsia"/>
                <w:highlight w:val="none"/>
                <w:vertAlign w:val="baseline"/>
                <w:lang w:val="en-US" w:eastAsia="zh-CN"/>
              </w:rPr>
            </w:pPr>
          </w:p>
        </w:tc>
        <w:tc>
          <w:tcPr>
            <w:tcW w:w="1040" w:type="dxa"/>
            <w:vMerge w:val="continue"/>
          </w:tcPr>
          <w:p w14:paraId="40108CA2">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0AC25D0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合并用药管理</w:t>
            </w:r>
          </w:p>
        </w:tc>
        <w:tc>
          <w:tcPr>
            <w:tcW w:w="4003" w:type="dxa"/>
            <w:shd w:val="clear" w:color="auto" w:fill="auto"/>
            <w:vAlign w:val="center"/>
          </w:tcPr>
          <w:p w14:paraId="437DFAFA">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default" w:ascii="Times New Roman" w:hAnsi="Times New Roman" w:eastAsia="宋体" w:cs="Times New Roman"/>
                <w:b w:val="0"/>
                <w:bCs w:val="0"/>
                <w:sz w:val="24"/>
                <w:szCs w:val="24"/>
                <w:highlight w:val="none"/>
              </w:rPr>
              <w:t>支持合并用药</w:t>
            </w:r>
            <w:r>
              <w:rPr>
                <w:rFonts w:hint="eastAsia" w:ascii="Times New Roman" w:hAnsi="Times New Roman" w:eastAsia="宋体" w:cs="Times New Roman"/>
                <w:b w:val="0"/>
                <w:bCs w:val="0"/>
                <w:sz w:val="24"/>
                <w:szCs w:val="24"/>
                <w:highlight w:val="none"/>
                <w:lang w:val="en-US" w:eastAsia="zh-CN"/>
              </w:rPr>
              <w:t>查询</w:t>
            </w:r>
            <w:r>
              <w:rPr>
                <w:rFonts w:hint="eastAsia" w:ascii="Times New Roman" w:hAnsi="Times New Roman" w:eastAsia="宋体" w:cs="Times New Roman"/>
                <w:b w:val="0"/>
                <w:bCs w:val="0"/>
                <w:sz w:val="24"/>
                <w:szCs w:val="24"/>
                <w:highlight w:val="none"/>
                <w:lang w:eastAsia="zh-CN"/>
              </w:rPr>
              <w:t>，</w:t>
            </w:r>
            <w:r>
              <w:rPr>
                <w:rFonts w:hint="default" w:ascii="Times New Roman" w:hAnsi="Times New Roman" w:eastAsia="宋体" w:cs="Times New Roman"/>
                <w:b w:val="0"/>
                <w:bCs w:val="0"/>
                <w:sz w:val="24"/>
                <w:szCs w:val="24"/>
                <w:highlight w:val="none"/>
              </w:rPr>
              <w:t>在整个试验期间，支持研究者随时查询受试者在本院的用药医嘱的开具记录</w:t>
            </w:r>
          </w:p>
        </w:tc>
      </w:tr>
      <w:tr w14:paraId="7511A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9CF024C">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52</w:t>
            </w:r>
          </w:p>
        </w:tc>
        <w:tc>
          <w:tcPr>
            <w:tcW w:w="414" w:type="dxa"/>
            <w:vMerge w:val="continue"/>
          </w:tcPr>
          <w:p w14:paraId="2CF8EC72">
            <w:pPr>
              <w:pStyle w:val="3"/>
              <w:numPr>
                <w:ilvl w:val="0"/>
                <w:numId w:val="0"/>
              </w:numPr>
              <w:ind w:right="291" w:rightChars="0"/>
              <w:rPr>
                <w:rFonts w:hint="eastAsia"/>
                <w:highlight w:val="none"/>
                <w:vertAlign w:val="baseline"/>
                <w:lang w:val="en-US" w:eastAsia="zh-CN"/>
              </w:rPr>
            </w:pPr>
          </w:p>
        </w:tc>
        <w:tc>
          <w:tcPr>
            <w:tcW w:w="902" w:type="dxa"/>
            <w:vMerge w:val="continue"/>
          </w:tcPr>
          <w:p w14:paraId="7FEA84AA">
            <w:pPr>
              <w:pStyle w:val="3"/>
              <w:numPr>
                <w:ilvl w:val="0"/>
                <w:numId w:val="0"/>
              </w:numPr>
              <w:ind w:right="291" w:rightChars="0"/>
              <w:rPr>
                <w:rFonts w:hint="eastAsia"/>
                <w:highlight w:val="none"/>
                <w:vertAlign w:val="baseline"/>
                <w:lang w:val="en-US" w:eastAsia="zh-CN"/>
              </w:rPr>
            </w:pPr>
          </w:p>
        </w:tc>
        <w:tc>
          <w:tcPr>
            <w:tcW w:w="1040" w:type="dxa"/>
            <w:vMerge w:val="continue"/>
          </w:tcPr>
          <w:p w14:paraId="438257A9">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194C6C1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安全性事件</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管理</w:t>
            </w:r>
          </w:p>
        </w:tc>
        <w:tc>
          <w:tcPr>
            <w:tcW w:w="4003" w:type="dxa"/>
            <w:shd w:val="clear" w:color="auto" w:fill="auto"/>
            <w:vAlign w:val="center"/>
          </w:tcPr>
          <w:p w14:paraId="52A701DD">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woUserID w:val="2"/>
              </w:rPr>
            </w:pPr>
            <w:r>
              <w:rPr>
                <w:rFonts w:hint="eastAsia" w:ascii="Times New Roman" w:hAnsi="Times New Roman" w:eastAsia="宋体" w:cs="Times New Roman"/>
                <w:b w:val="0"/>
                <w:bCs w:val="0"/>
                <w:sz w:val="24"/>
                <w:szCs w:val="24"/>
                <w:highlight w:val="none"/>
                <w:lang w:val="en-US" w:eastAsia="zh-CN"/>
              </w:rPr>
              <w:t>实现</w:t>
            </w:r>
            <w:r>
              <w:rPr>
                <w:rFonts w:hint="eastAsia" w:ascii="Times New Roman" w:hAnsi="Times New Roman" w:eastAsia="宋体" w:cs="Times New Roman"/>
                <w:b w:val="0"/>
                <w:bCs w:val="0"/>
                <w:sz w:val="24"/>
                <w:szCs w:val="24"/>
                <w:highlight w:val="none"/>
              </w:rPr>
              <w:t>受试者</w:t>
            </w:r>
            <w:r>
              <w:rPr>
                <w:rFonts w:hint="eastAsia" w:ascii="Times New Roman" w:hAnsi="Times New Roman" w:eastAsia="宋体" w:cs="Times New Roman"/>
                <w:b w:val="0"/>
                <w:bCs w:val="0"/>
                <w:sz w:val="24"/>
                <w:szCs w:val="24"/>
                <w:highlight w:val="none"/>
                <w:lang w:val="en-US" w:eastAsia="zh-CN"/>
              </w:rPr>
              <w:t>AE/</w:t>
            </w:r>
            <w:r>
              <w:rPr>
                <w:rFonts w:hint="eastAsia" w:ascii="Times New Roman" w:hAnsi="Times New Roman" w:eastAsia="宋体" w:cs="Times New Roman"/>
                <w:b w:val="0"/>
                <w:bCs w:val="0"/>
                <w:sz w:val="24"/>
                <w:szCs w:val="24"/>
                <w:highlight w:val="none"/>
              </w:rPr>
              <w:t>SAE记录和SAE报告填报，支持SAE报告</w:t>
            </w:r>
            <w:r>
              <w:rPr>
                <w:rFonts w:hint="eastAsia" w:ascii="Times New Roman" w:hAnsi="Times New Roman" w:eastAsia="宋体" w:cs="Times New Roman"/>
                <w:b w:val="0"/>
                <w:bCs w:val="0"/>
                <w:sz w:val="24"/>
                <w:szCs w:val="24"/>
                <w:highlight w:val="none"/>
                <w:lang w:val="en-US" w:eastAsia="zh-CN"/>
              </w:rPr>
              <w:t>上传和下载</w:t>
            </w:r>
            <w:r>
              <w:rPr>
                <w:rFonts w:hint="eastAsia" w:ascii="Times New Roman" w:hAnsi="Times New Roman" w:eastAsia="宋体" w:cs="Times New Roman"/>
                <w:b w:val="0"/>
                <w:bCs w:val="0"/>
                <w:sz w:val="24"/>
                <w:szCs w:val="24"/>
                <w:highlight w:val="none"/>
              </w:rPr>
              <w:t>。</w:t>
            </w:r>
            <w:r>
              <w:rPr>
                <w:rFonts w:hint="eastAsia" w:ascii="Times New Roman" w:hAnsi="Times New Roman" w:eastAsia="宋体" w:cs="Times New Roman"/>
                <w:b w:val="0"/>
                <w:bCs w:val="0"/>
                <w:sz w:val="24"/>
                <w:szCs w:val="24"/>
                <w:highlight w:val="none"/>
                <w:lang w:eastAsia="zh"/>
                <w:woUserID w:val="2"/>
              </w:rPr>
              <w:t>实现</w:t>
            </w:r>
            <w:r>
              <w:rPr>
                <w:rFonts w:hint="eastAsia" w:ascii="Times New Roman" w:hAnsi="Times New Roman" w:eastAsia="宋体" w:cs="Times New Roman"/>
                <w:b w:val="0"/>
                <w:bCs w:val="0"/>
                <w:color w:val="000000"/>
                <w:sz w:val="24"/>
                <w:szCs w:val="24"/>
                <w:highlight w:val="none"/>
                <w:lang w:val="en-US" w:eastAsia="zh-CN"/>
                <w:woUserID w:val="2"/>
              </w:rPr>
              <w:t>SUSAR</w:t>
            </w:r>
            <w:r>
              <w:rPr>
                <w:rFonts w:hint="eastAsia" w:ascii="Times New Roman" w:hAnsi="Times New Roman" w:eastAsia="宋体" w:cs="Times New Roman"/>
                <w:b w:val="0"/>
                <w:bCs w:val="0"/>
                <w:color w:val="000000"/>
                <w:sz w:val="24"/>
                <w:szCs w:val="24"/>
                <w:highlight w:val="none"/>
                <w:lang w:val="en-US" w:eastAsia="zh"/>
                <w:woUserID w:val="2"/>
              </w:rPr>
              <w:t>的上报提交。</w:t>
            </w:r>
          </w:p>
        </w:tc>
      </w:tr>
      <w:tr w14:paraId="1E8D1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507BB85">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53</w:t>
            </w:r>
          </w:p>
        </w:tc>
        <w:tc>
          <w:tcPr>
            <w:tcW w:w="414" w:type="dxa"/>
            <w:vMerge w:val="continue"/>
          </w:tcPr>
          <w:p w14:paraId="292EFB11">
            <w:pPr>
              <w:pStyle w:val="3"/>
              <w:numPr>
                <w:ilvl w:val="0"/>
                <w:numId w:val="0"/>
              </w:numPr>
              <w:ind w:right="291" w:rightChars="0"/>
              <w:rPr>
                <w:rFonts w:hint="eastAsia"/>
                <w:highlight w:val="none"/>
                <w:vertAlign w:val="baseline"/>
                <w:lang w:val="en-US" w:eastAsia="zh-CN"/>
              </w:rPr>
            </w:pPr>
          </w:p>
        </w:tc>
        <w:tc>
          <w:tcPr>
            <w:tcW w:w="902" w:type="dxa"/>
            <w:vMerge w:val="continue"/>
          </w:tcPr>
          <w:p w14:paraId="359EFD77">
            <w:pPr>
              <w:pStyle w:val="3"/>
              <w:numPr>
                <w:ilvl w:val="0"/>
                <w:numId w:val="0"/>
              </w:numPr>
              <w:ind w:right="291" w:rightChars="0"/>
              <w:rPr>
                <w:rFonts w:hint="eastAsia"/>
                <w:highlight w:val="none"/>
                <w:vertAlign w:val="baseline"/>
                <w:lang w:val="en-US" w:eastAsia="zh-CN"/>
              </w:rPr>
            </w:pPr>
          </w:p>
        </w:tc>
        <w:tc>
          <w:tcPr>
            <w:tcW w:w="1040" w:type="dxa"/>
            <w:vMerge w:val="continue"/>
          </w:tcPr>
          <w:p w14:paraId="6244236B">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4171115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受试者试验费用统计</w:t>
            </w:r>
          </w:p>
        </w:tc>
        <w:tc>
          <w:tcPr>
            <w:tcW w:w="4003" w:type="dxa"/>
            <w:shd w:val="clear" w:color="auto" w:fill="auto"/>
            <w:vAlign w:val="center"/>
          </w:tcPr>
          <w:p w14:paraId="11E54000">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highlight w:val="none"/>
                <w:lang w:val="en-US" w:eastAsia="zh-CN"/>
              </w:rPr>
              <w:t>实现检验检查费用自动统计，支持按照受试者和项目查询检验检查记账明细；支持试验费用余额不足时及时提醒。</w:t>
            </w:r>
          </w:p>
        </w:tc>
      </w:tr>
      <w:tr w14:paraId="1CB27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4B66D58">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54</w:t>
            </w:r>
          </w:p>
        </w:tc>
        <w:tc>
          <w:tcPr>
            <w:tcW w:w="414" w:type="dxa"/>
            <w:vMerge w:val="continue"/>
          </w:tcPr>
          <w:p w14:paraId="76C5F8AB">
            <w:pPr>
              <w:pStyle w:val="3"/>
              <w:numPr>
                <w:ilvl w:val="0"/>
                <w:numId w:val="0"/>
              </w:numPr>
              <w:ind w:right="291" w:rightChars="0"/>
              <w:rPr>
                <w:rFonts w:hint="eastAsia"/>
                <w:highlight w:val="green"/>
                <w:vertAlign w:val="baseline"/>
                <w:lang w:val="en-US" w:eastAsia="zh-CN"/>
              </w:rPr>
            </w:pPr>
          </w:p>
        </w:tc>
        <w:tc>
          <w:tcPr>
            <w:tcW w:w="902" w:type="dxa"/>
            <w:vMerge w:val="restart"/>
            <w:shd w:val="clear" w:color="auto" w:fill="auto"/>
            <w:vAlign w:val="center"/>
          </w:tcPr>
          <w:p w14:paraId="2F12FC54">
            <w:pPr>
              <w:pStyle w:val="3"/>
              <w:numPr>
                <w:ilvl w:val="0"/>
                <w:numId w:val="0"/>
              </w:numPr>
              <w:ind w:left="0" w:leftChars="0" w:right="291" w:rightChars="0" w:firstLine="0" w:firstLineChars="0"/>
              <w:jc w:val="left"/>
              <w:rPr>
                <w:rFonts w:hint="eastAsia" w:ascii="宋体" w:hAnsiTheme="minorHAnsi" w:eastAsiaTheme="minorEastAsia" w:cstheme="minorBidi"/>
                <w:kern w:val="0"/>
                <w:sz w:val="21"/>
                <w:szCs w:val="24"/>
                <w:highlight w:val="none"/>
                <w:vertAlign w:val="baseline"/>
                <w:lang w:val="en-US" w:eastAsia="zh-CN" w:bidi="ar-SA"/>
              </w:rPr>
            </w:pPr>
            <w:r>
              <w:rPr>
                <w:rFonts w:hint="eastAsia" w:asciiTheme="minorEastAsia" w:hAnsiTheme="minorEastAsia" w:cstheme="minorEastAsia"/>
                <w:sz w:val="24"/>
                <w:szCs w:val="32"/>
                <w:highlight w:val="none"/>
                <w:lang w:val="en-US" w:eastAsia="zh-CN"/>
              </w:rPr>
              <w:t>临床改造</w:t>
            </w:r>
          </w:p>
        </w:tc>
        <w:tc>
          <w:tcPr>
            <w:tcW w:w="1040" w:type="dxa"/>
            <w:vMerge w:val="restart"/>
            <w:shd w:val="clear" w:color="auto" w:fill="auto"/>
            <w:vAlign w:val="center"/>
          </w:tcPr>
          <w:p w14:paraId="4BD1BE8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电子病历系统对接及改造</w:t>
            </w:r>
          </w:p>
          <w:p w14:paraId="5089B5EE">
            <w:pPr>
              <w:pStyle w:val="3"/>
              <w:numPr>
                <w:ilvl w:val="0"/>
                <w:numId w:val="0"/>
              </w:numPr>
              <w:ind w:left="0" w:leftChars="0" w:right="291" w:rightChars="0" w:firstLine="0" w:firstLineChars="0"/>
              <w:jc w:val="left"/>
              <w:rPr>
                <w:rFonts w:hint="eastAsia" w:ascii="宋体" w:hAnsiTheme="minorHAnsi" w:eastAsiaTheme="minorEastAsia" w:cstheme="minorBidi"/>
                <w:kern w:val="0"/>
                <w:sz w:val="21"/>
                <w:szCs w:val="24"/>
                <w:highlight w:val="none"/>
                <w:vertAlign w:val="baseline"/>
                <w:lang w:val="en-US" w:eastAsia="zh-CN" w:bidi="ar-SA"/>
              </w:rPr>
            </w:pPr>
          </w:p>
        </w:tc>
        <w:tc>
          <w:tcPr>
            <w:tcW w:w="1721" w:type="dxa"/>
            <w:shd w:val="clear" w:color="auto" w:fill="auto"/>
            <w:vAlign w:val="center"/>
          </w:tcPr>
          <w:p w14:paraId="4BC6053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门诊电子病历系统对接及改造</w:t>
            </w:r>
          </w:p>
        </w:tc>
        <w:tc>
          <w:tcPr>
            <w:tcW w:w="4003" w:type="dxa"/>
            <w:shd w:val="clear" w:color="auto" w:fill="auto"/>
            <w:vAlign w:val="center"/>
          </w:tcPr>
          <w:p w14:paraId="48F699E7">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kern w:val="2"/>
                <w:sz w:val="24"/>
                <w:szCs w:val="24"/>
                <w:highlight w:val="none"/>
                <w:lang w:val="en-US" w:eastAsia="zh-CN"/>
              </w:rPr>
              <w:t>与门诊电子病历系统（含医嘱）无缝集成。支持与门诊系统的数据共享接口，共享受试者基本信息、状态、病历数据、GCP医嘱数据。提供完整合理的接口建设和门诊系统改造方案。</w:t>
            </w:r>
            <w:r>
              <w:rPr>
                <w:rFonts w:hint="eastAsia" w:ascii="Times New Roman" w:hAnsi="Times New Roman" w:eastAsia="宋体" w:cs="Times New Roman"/>
                <w:b w:val="0"/>
                <w:bCs w:val="0"/>
                <w:sz w:val="24"/>
                <w:szCs w:val="24"/>
                <w:highlight w:val="none"/>
                <w:lang w:val="en-US" w:eastAsia="zh-CN"/>
              </w:rPr>
              <w:t>实现</w:t>
            </w:r>
            <w:r>
              <w:rPr>
                <w:rFonts w:hint="eastAsia" w:ascii="Times New Roman" w:hAnsi="Times New Roman" w:eastAsia="宋体" w:cs="Times New Roman"/>
                <w:b w:val="0"/>
                <w:bCs w:val="0"/>
                <w:sz w:val="24"/>
                <w:szCs w:val="24"/>
                <w:highlight w:val="none"/>
              </w:rPr>
              <w:t>与门诊系统单点登录，避免医生反复切换账号</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lang w:val="en-US" w:eastAsia="zh-CN"/>
              </w:rPr>
              <w:t>实现医生在门诊和住院系统写研究病历、下达GCP免费医嘱、查阅GCP检验检查报告等。</w:t>
            </w:r>
          </w:p>
        </w:tc>
      </w:tr>
      <w:tr w14:paraId="3D154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9F92139">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55</w:t>
            </w:r>
          </w:p>
        </w:tc>
        <w:tc>
          <w:tcPr>
            <w:tcW w:w="414" w:type="dxa"/>
            <w:vMerge w:val="continue"/>
          </w:tcPr>
          <w:p w14:paraId="2787101F">
            <w:pPr>
              <w:pStyle w:val="3"/>
              <w:numPr>
                <w:ilvl w:val="0"/>
                <w:numId w:val="0"/>
              </w:numPr>
              <w:ind w:right="291" w:rightChars="0"/>
              <w:rPr>
                <w:rFonts w:hint="eastAsia"/>
                <w:highlight w:val="green"/>
                <w:vertAlign w:val="baseline"/>
                <w:lang w:val="en-US" w:eastAsia="zh-CN"/>
              </w:rPr>
            </w:pPr>
          </w:p>
        </w:tc>
        <w:tc>
          <w:tcPr>
            <w:tcW w:w="902" w:type="dxa"/>
            <w:vMerge w:val="continue"/>
          </w:tcPr>
          <w:p w14:paraId="44C20330">
            <w:pPr>
              <w:pStyle w:val="3"/>
              <w:numPr>
                <w:ilvl w:val="0"/>
                <w:numId w:val="0"/>
              </w:numPr>
              <w:ind w:right="291" w:rightChars="0"/>
              <w:rPr>
                <w:rFonts w:hint="eastAsia"/>
                <w:highlight w:val="green"/>
                <w:vertAlign w:val="baseline"/>
                <w:lang w:val="en-US" w:eastAsia="zh-CN"/>
              </w:rPr>
            </w:pPr>
          </w:p>
        </w:tc>
        <w:tc>
          <w:tcPr>
            <w:tcW w:w="1040" w:type="dxa"/>
            <w:vMerge w:val="continue"/>
          </w:tcPr>
          <w:p w14:paraId="67FC2398">
            <w:pPr>
              <w:pStyle w:val="3"/>
              <w:numPr>
                <w:ilvl w:val="0"/>
                <w:numId w:val="0"/>
              </w:numPr>
              <w:ind w:right="291" w:rightChars="0"/>
              <w:rPr>
                <w:rFonts w:hint="eastAsia"/>
                <w:highlight w:val="green"/>
                <w:vertAlign w:val="baseline"/>
                <w:lang w:val="en-US" w:eastAsia="zh-CN"/>
              </w:rPr>
            </w:pPr>
          </w:p>
        </w:tc>
        <w:tc>
          <w:tcPr>
            <w:tcW w:w="1721" w:type="dxa"/>
            <w:shd w:val="clear" w:color="auto" w:fill="auto"/>
            <w:vAlign w:val="center"/>
          </w:tcPr>
          <w:p w14:paraId="350C26A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住院电子病历系统对接及改造</w:t>
            </w:r>
          </w:p>
        </w:tc>
        <w:tc>
          <w:tcPr>
            <w:tcW w:w="4003" w:type="dxa"/>
            <w:shd w:val="clear" w:color="auto" w:fill="auto"/>
            <w:vAlign w:val="center"/>
          </w:tcPr>
          <w:p w14:paraId="4A08F190">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kern w:val="2"/>
                <w:sz w:val="24"/>
                <w:szCs w:val="24"/>
                <w:highlight w:val="none"/>
                <w:lang w:val="en-US" w:eastAsia="zh-CN"/>
              </w:rPr>
              <w:t>支持与住院电子病历系统（含医嘱）无缝集成。支持与住院系统的数据共享接口，数据包括研究方案数据、受试者基本信息、受试者状态、病历数据、GCP医嘱数据。提供完整合理的接口建设和住院系统改造方案。</w:t>
            </w:r>
            <w:r>
              <w:rPr>
                <w:rFonts w:hint="eastAsia" w:ascii="Times New Roman" w:hAnsi="Times New Roman" w:eastAsia="宋体" w:cs="Times New Roman"/>
                <w:b w:val="0"/>
                <w:bCs w:val="0"/>
                <w:sz w:val="24"/>
                <w:szCs w:val="24"/>
                <w:highlight w:val="none"/>
                <w:lang w:val="en-US" w:eastAsia="zh-CN"/>
              </w:rPr>
              <w:t>实现</w:t>
            </w:r>
            <w:r>
              <w:rPr>
                <w:rFonts w:hint="eastAsia" w:ascii="Times New Roman" w:hAnsi="Times New Roman" w:eastAsia="宋体" w:cs="Times New Roman"/>
                <w:b w:val="0"/>
                <w:bCs w:val="0"/>
                <w:sz w:val="24"/>
                <w:szCs w:val="24"/>
                <w:highlight w:val="none"/>
              </w:rPr>
              <w:t>与</w:t>
            </w:r>
            <w:r>
              <w:rPr>
                <w:rFonts w:hint="eastAsia" w:ascii="Times New Roman" w:hAnsi="Times New Roman" w:eastAsia="宋体" w:cs="Times New Roman"/>
                <w:b w:val="0"/>
                <w:bCs w:val="0"/>
                <w:sz w:val="24"/>
                <w:szCs w:val="24"/>
                <w:highlight w:val="none"/>
                <w:lang w:val="en-US" w:eastAsia="zh-CN"/>
              </w:rPr>
              <w:t>住院</w:t>
            </w:r>
            <w:r>
              <w:rPr>
                <w:rFonts w:hint="eastAsia" w:ascii="Times New Roman" w:hAnsi="Times New Roman" w:eastAsia="宋体" w:cs="Times New Roman"/>
                <w:b w:val="0"/>
                <w:bCs w:val="0"/>
                <w:sz w:val="24"/>
                <w:szCs w:val="24"/>
                <w:highlight w:val="none"/>
              </w:rPr>
              <w:t>系统单点登录，避免医生反复切换账号</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lang w:val="en-US" w:eastAsia="zh-CN"/>
              </w:rPr>
              <w:t>实现医生在门诊和住院系统写研究病历、下达GCP免费医嘱、查阅GCP检验检查报告等。</w:t>
            </w:r>
          </w:p>
        </w:tc>
      </w:tr>
      <w:tr w14:paraId="3B3FC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5E622F2">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56</w:t>
            </w:r>
          </w:p>
        </w:tc>
        <w:tc>
          <w:tcPr>
            <w:tcW w:w="414" w:type="dxa"/>
            <w:vMerge w:val="continue"/>
          </w:tcPr>
          <w:p w14:paraId="0DB1149A">
            <w:pPr>
              <w:pStyle w:val="3"/>
              <w:numPr>
                <w:ilvl w:val="0"/>
                <w:numId w:val="0"/>
              </w:numPr>
              <w:ind w:right="291" w:rightChars="0"/>
              <w:rPr>
                <w:rFonts w:hint="eastAsia"/>
                <w:highlight w:val="green"/>
                <w:vertAlign w:val="baseline"/>
                <w:lang w:val="en-US" w:eastAsia="zh-CN"/>
              </w:rPr>
            </w:pPr>
          </w:p>
        </w:tc>
        <w:tc>
          <w:tcPr>
            <w:tcW w:w="902" w:type="dxa"/>
            <w:vMerge w:val="restart"/>
          </w:tcPr>
          <w:p w14:paraId="090CCBCD">
            <w:pPr>
              <w:pStyle w:val="3"/>
              <w:numPr>
                <w:ilvl w:val="0"/>
                <w:numId w:val="0"/>
              </w:numPr>
              <w:ind w:right="291" w:rightChars="0"/>
              <w:rPr>
                <w:rFonts w:hint="default"/>
                <w:highlight w:val="green"/>
                <w:vertAlign w:val="baseline"/>
                <w:lang w:val="en-US" w:eastAsia="zh-CN"/>
              </w:rPr>
            </w:pPr>
            <w:r>
              <w:rPr>
                <w:rFonts w:hint="eastAsia"/>
                <w:highlight w:val="none"/>
                <w:vertAlign w:val="baseline"/>
                <w:lang w:val="en-US" w:eastAsia="zh-CN"/>
              </w:rPr>
              <w:t>审查流转</w:t>
            </w:r>
          </w:p>
        </w:tc>
        <w:tc>
          <w:tcPr>
            <w:tcW w:w="1040" w:type="dxa"/>
            <w:vMerge w:val="restart"/>
          </w:tcPr>
          <w:p w14:paraId="61F7E2FE">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人员管理</w:t>
            </w:r>
          </w:p>
        </w:tc>
        <w:tc>
          <w:tcPr>
            <w:tcW w:w="1721" w:type="dxa"/>
            <w:shd w:val="clear" w:color="auto" w:fill="auto"/>
            <w:vAlign w:val="center"/>
          </w:tcPr>
          <w:p w14:paraId="4E1A24F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人员账号、权限管理</w:t>
            </w:r>
          </w:p>
        </w:tc>
        <w:tc>
          <w:tcPr>
            <w:tcW w:w="4003" w:type="dxa"/>
            <w:shd w:val="clear" w:color="auto" w:fill="auto"/>
            <w:vAlign w:val="center"/>
          </w:tcPr>
          <w:p w14:paraId="3BE8D3B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t>具有良好角色和权限管理功能，依据院内人员和院外人员的不同管理模式开放不同的账号注册申请页面，注册账号时支持提交相关资质材料，并经机构审核后账号方可生效。同时，个人中心支持用户自主维护个人信息，对于关键信息的变更设置审核流程。</w:t>
            </w:r>
          </w:p>
          <w:p w14:paraId="6DC56736">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t>支持对不同角色人员进行权限管理，不同角色人员不可跨角色查看并操作其他信息及流程。</w:t>
            </w:r>
          </w:p>
        </w:tc>
      </w:tr>
      <w:tr w14:paraId="3A4B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4839E15">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57</w:t>
            </w:r>
          </w:p>
        </w:tc>
        <w:tc>
          <w:tcPr>
            <w:tcW w:w="414" w:type="dxa"/>
            <w:vMerge w:val="continue"/>
          </w:tcPr>
          <w:p w14:paraId="3933405D">
            <w:pPr>
              <w:pStyle w:val="3"/>
              <w:numPr>
                <w:ilvl w:val="0"/>
                <w:numId w:val="0"/>
              </w:numPr>
              <w:ind w:right="291" w:rightChars="0"/>
              <w:rPr>
                <w:rFonts w:hint="eastAsia"/>
                <w:highlight w:val="green"/>
                <w:vertAlign w:val="baseline"/>
                <w:lang w:val="en-US" w:eastAsia="zh-CN"/>
              </w:rPr>
            </w:pPr>
          </w:p>
        </w:tc>
        <w:tc>
          <w:tcPr>
            <w:tcW w:w="902" w:type="dxa"/>
            <w:vMerge w:val="continue"/>
          </w:tcPr>
          <w:p w14:paraId="238720C0">
            <w:pPr>
              <w:pStyle w:val="3"/>
              <w:numPr>
                <w:ilvl w:val="0"/>
                <w:numId w:val="0"/>
              </w:numPr>
              <w:ind w:right="291" w:rightChars="0"/>
              <w:rPr>
                <w:rFonts w:hint="eastAsia"/>
                <w:highlight w:val="green"/>
                <w:vertAlign w:val="baseline"/>
                <w:lang w:val="en-US" w:eastAsia="zh-CN"/>
              </w:rPr>
            </w:pPr>
          </w:p>
        </w:tc>
        <w:tc>
          <w:tcPr>
            <w:tcW w:w="1040" w:type="dxa"/>
            <w:vMerge w:val="continue"/>
          </w:tcPr>
          <w:p w14:paraId="2B0F3328">
            <w:pPr>
              <w:pStyle w:val="3"/>
              <w:numPr>
                <w:ilvl w:val="0"/>
                <w:numId w:val="0"/>
              </w:numPr>
              <w:ind w:right="291" w:rightChars="0"/>
              <w:rPr>
                <w:rFonts w:hint="eastAsia"/>
                <w:highlight w:val="green"/>
                <w:vertAlign w:val="baseline"/>
                <w:lang w:val="en-US" w:eastAsia="zh-CN"/>
              </w:rPr>
            </w:pPr>
          </w:p>
        </w:tc>
        <w:tc>
          <w:tcPr>
            <w:tcW w:w="1721" w:type="dxa"/>
            <w:shd w:val="clear" w:color="auto" w:fill="auto"/>
            <w:vAlign w:val="center"/>
          </w:tcPr>
          <w:p w14:paraId="0C2D8A2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人员资质管理</w:t>
            </w:r>
          </w:p>
        </w:tc>
        <w:tc>
          <w:tcPr>
            <w:tcW w:w="4003" w:type="dxa"/>
            <w:shd w:val="clear" w:color="auto" w:fill="auto"/>
            <w:vAlign w:val="center"/>
          </w:tcPr>
          <w:p w14:paraId="78A06254">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rPr>
              <w:t>支持根据GCP管理规范和医院管理的要求，对</w:t>
            </w:r>
            <w:r>
              <w:rPr>
                <w:rFonts w:hint="eastAsia" w:ascii="Times New Roman" w:hAnsi="Times New Roman" w:eastAsia="宋体" w:cs="Times New Roman"/>
                <w:b w:val="0"/>
                <w:bCs w:val="0"/>
                <w:kern w:val="2"/>
                <w:sz w:val="24"/>
                <w:szCs w:val="24"/>
                <w:highlight w:val="none"/>
                <w:lang w:val="en-US" w:eastAsia="zh-CN"/>
              </w:rPr>
              <w:t>全院管理</w:t>
            </w:r>
            <w:r>
              <w:rPr>
                <w:rFonts w:hint="eastAsia" w:ascii="Times New Roman" w:hAnsi="Times New Roman" w:eastAsia="宋体" w:cs="Times New Roman"/>
                <w:b w:val="0"/>
                <w:bCs w:val="0"/>
                <w:kern w:val="2"/>
                <w:sz w:val="24"/>
                <w:szCs w:val="24"/>
                <w:highlight w:val="none"/>
                <w:lang w:val="en-US"/>
              </w:rPr>
              <w:t>人员</w:t>
            </w:r>
            <w:r>
              <w:rPr>
                <w:rFonts w:hint="eastAsia" w:ascii="Times New Roman" w:hAnsi="Times New Roman" w:eastAsia="宋体" w:cs="Times New Roman"/>
                <w:b w:val="0"/>
                <w:bCs w:val="0"/>
                <w:kern w:val="2"/>
                <w:sz w:val="24"/>
                <w:szCs w:val="24"/>
                <w:highlight w:val="none"/>
                <w:lang w:val="en-US" w:eastAsia="zh-CN"/>
              </w:rPr>
              <w:t>、研究人员</w:t>
            </w:r>
            <w:r>
              <w:rPr>
                <w:rFonts w:hint="eastAsia" w:ascii="Times New Roman" w:hAnsi="Times New Roman" w:eastAsia="宋体" w:cs="Times New Roman"/>
                <w:b w:val="0"/>
                <w:bCs w:val="0"/>
                <w:kern w:val="2"/>
                <w:sz w:val="24"/>
                <w:szCs w:val="24"/>
                <w:highlight w:val="none"/>
                <w:lang w:val="en-US"/>
              </w:rPr>
              <w:t>资质进行管理，比如</w:t>
            </w:r>
            <w:r>
              <w:rPr>
                <w:rFonts w:hint="eastAsia" w:ascii="Times New Roman" w:hAnsi="Times New Roman" w:eastAsia="宋体" w:cs="Times New Roman"/>
                <w:b w:val="0"/>
                <w:bCs w:val="0"/>
                <w:kern w:val="2"/>
                <w:sz w:val="24"/>
                <w:szCs w:val="24"/>
                <w:highlight w:val="none"/>
                <w:lang w:val="en-US" w:eastAsia="zh-CN"/>
              </w:rPr>
              <w:t>登记</w:t>
            </w:r>
            <w:r>
              <w:rPr>
                <w:rFonts w:hint="eastAsia" w:ascii="Times New Roman" w:hAnsi="Times New Roman" w:eastAsia="宋体" w:cs="Times New Roman"/>
                <w:b w:val="0"/>
                <w:bCs w:val="0"/>
                <w:kern w:val="2"/>
                <w:sz w:val="24"/>
                <w:szCs w:val="24"/>
                <w:highlight w:val="none"/>
                <w:lang w:val="en-US"/>
              </w:rPr>
              <w:t>GCP证书、个人简历等</w:t>
            </w:r>
            <w:r>
              <w:rPr>
                <w:rFonts w:hint="eastAsia" w:ascii="Times New Roman" w:hAnsi="Times New Roman" w:eastAsia="宋体" w:cs="Times New Roman"/>
                <w:b w:val="0"/>
                <w:bCs w:val="0"/>
                <w:kern w:val="2"/>
                <w:sz w:val="24"/>
                <w:szCs w:val="24"/>
                <w:highlight w:val="none"/>
                <w:lang w:val="en-US" w:eastAsia="zh-CN"/>
              </w:rPr>
              <w:t>；</w:t>
            </w:r>
            <w:r>
              <w:rPr>
                <w:rFonts w:hint="eastAsia" w:ascii="Times New Roman" w:hAnsi="Times New Roman" w:eastAsia="宋体" w:cs="Times New Roman"/>
                <w:b w:val="0"/>
                <w:bCs w:val="0"/>
                <w:kern w:val="2"/>
                <w:sz w:val="24"/>
                <w:szCs w:val="24"/>
                <w:highlight w:val="none"/>
                <w:lang w:val="en-US"/>
              </w:rPr>
              <w:t>支持对人员资质即将过期或已过期的用户进行提醒</w:t>
            </w:r>
            <w:r>
              <w:rPr>
                <w:rFonts w:hint="eastAsia" w:ascii="Times New Roman" w:hAnsi="Times New Roman" w:eastAsia="宋体" w:cs="Times New Roman"/>
                <w:b w:val="0"/>
                <w:bCs w:val="0"/>
                <w:kern w:val="2"/>
                <w:sz w:val="24"/>
                <w:szCs w:val="24"/>
                <w:highlight w:val="none"/>
                <w:lang w:val="en-US" w:eastAsia="zh-CN"/>
              </w:rPr>
              <w:t>。</w:t>
            </w:r>
          </w:p>
        </w:tc>
      </w:tr>
      <w:tr w14:paraId="25DD6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4890392">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58</w:t>
            </w:r>
          </w:p>
        </w:tc>
        <w:tc>
          <w:tcPr>
            <w:tcW w:w="414" w:type="dxa"/>
            <w:vMerge w:val="continue"/>
          </w:tcPr>
          <w:p w14:paraId="5C741FF5">
            <w:pPr>
              <w:pStyle w:val="3"/>
              <w:numPr>
                <w:ilvl w:val="0"/>
                <w:numId w:val="0"/>
              </w:numPr>
              <w:ind w:right="291" w:rightChars="0"/>
              <w:rPr>
                <w:rFonts w:hint="eastAsia"/>
                <w:highlight w:val="green"/>
                <w:vertAlign w:val="baseline"/>
                <w:lang w:val="en-US" w:eastAsia="zh-CN"/>
              </w:rPr>
            </w:pPr>
          </w:p>
        </w:tc>
        <w:tc>
          <w:tcPr>
            <w:tcW w:w="902" w:type="dxa"/>
            <w:vMerge w:val="continue"/>
          </w:tcPr>
          <w:p w14:paraId="7D4CF0BA">
            <w:pPr>
              <w:pStyle w:val="3"/>
              <w:numPr>
                <w:ilvl w:val="0"/>
                <w:numId w:val="0"/>
              </w:numPr>
              <w:ind w:right="291" w:rightChars="0"/>
              <w:rPr>
                <w:rFonts w:hint="eastAsia"/>
                <w:highlight w:val="green"/>
                <w:vertAlign w:val="baseline"/>
                <w:lang w:val="en-US" w:eastAsia="zh-CN"/>
              </w:rPr>
            </w:pPr>
          </w:p>
        </w:tc>
        <w:tc>
          <w:tcPr>
            <w:tcW w:w="1040" w:type="dxa"/>
            <w:vMerge w:val="continue"/>
          </w:tcPr>
          <w:p w14:paraId="2E5AE14C">
            <w:pPr>
              <w:pStyle w:val="3"/>
              <w:numPr>
                <w:ilvl w:val="0"/>
                <w:numId w:val="0"/>
              </w:numPr>
              <w:ind w:right="291" w:rightChars="0"/>
              <w:rPr>
                <w:rFonts w:hint="eastAsia"/>
                <w:highlight w:val="green"/>
                <w:vertAlign w:val="baseline"/>
                <w:lang w:val="en-US" w:eastAsia="zh-CN"/>
              </w:rPr>
            </w:pPr>
          </w:p>
        </w:tc>
        <w:tc>
          <w:tcPr>
            <w:tcW w:w="1721" w:type="dxa"/>
            <w:shd w:val="clear" w:color="auto" w:fill="auto"/>
            <w:vAlign w:val="center"/>
          </w:tcPr>
          <w:p w14:paraId="05C9A91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人员项目交接管理</w:t>
            </w:r>
          </w:p>
        </w:tc>
        <w:tc>
          <w:tcPr>
            <w:tcW w:w="4003" w:type="dxa"/>
            <w:shd w:val="clear" w:color="auto" w:fill="auto"/>
            <w:vAlign w:val="center"/>
          </w:tcPr>
          <w:p w14:paraId="673D356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color w:val="auto"/>
                <w:sz w:val="24"/>
                <w:szCs w:val="24"/>
                <w:highlight w:val="none"/>
                <w:lang w:val="en-US" w:eastAsia="zh-CN"/>
              </w:rPr>
              <w:t>实现</w:t>
            </w:r>
            <w:r>
              <w:rPr>
                <w:rFonts w:hint="eastAsia" w:ascii="Times New Roman" w:hAnsi="Times New Roman" w:eastAsia="宋体" w:cs="Times New Roman"/>
                <w:b w:val="0"/>
                <w:bCs w:val="0"/>
                <w:sz w:val="24"/>
                <w:szCs w:val="24"/>
                <w:highlight w:val="none"/>
                <w:lang w:val="en-US" w:eastAsia="zh-CN"/>
              </w:rPr>
              <w:t>CRC和CRA的在线操作，将项目交接给新的人员，并自动终止原有权限。</w:t>
            </w:r>
          </w:p>
        </w:tc>
      </w:tr>
      <w:tr w14:paraId="0EFE0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DF3FA87">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59</w:t>
            </w:r>
          </w:p>
        </w:tc>
        <w:tc>
          <w:tcPr>
            <w:tcW w:w="414" w:type="dxa"/>
            <w:vMerge w:val="continue"/>
          </w:tcPr>
          <w:p w14:paraId="219CD91B">
            <w:pPr>
              <w:pStyle w:val="3"/>
              <w:numPr>
                <w:ilvl w:val="0"/>
                <w:numId w:val="0"/>
              </w:numPr>
              <w:ind w:right="291" w:rightChars="0"/>
              <w:rPr>
                <w:rFonts w:hint="eastAsia"/>
                <w:highlight w:val="green"/>
                <w:vertAlign w:val="baseline"/>
                <w:lang w:val="en-US" w:eastAsia="zh-CN"/>
              </w:rPr>
            </w:pPr>
          </w:p>
        </w:tc>
        <w:tc>
          <w:tcPr>
            <w:tcW w:w="902" w:type="dxa"/>
            <w:vMerge w:val="continue"/>
          </w:tcPr>
          <w:p w14:paraId="343BB230">
            <w:pPr>
              <w:pStyle w:val="3"/>
              <w:numPr>
                <w:ilvl w:val="0"/>
                <w:numId w:val="0"/>
              </w:numPr>
              <w:ind w:right="291" w:rightChars="0"/>
              <w:rPr>
                <w:rFonts w:hint="eastAsia"/>
                <w:highlight w:val="green"/>
                <w:vertAlign w:val="baseline"/>
                <w:lang w:val="en-US" w:eastAsia="zh-CN"/>
              </w:rPr>
            </w:pPr>
          </w:p>
        </w:tc>
        <w:tc>
          <w:tcPr>
            <w:tcW w:w="1040" w:type="dxa"/>
            <w:vMerge w:val="restart"/>
          </w:tcPr>
          <w:p w14:paraId="027044C4">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办公管理</w:t>
            </w:r>
          </w:p>
        </w:tc>
        <w:tc>
          <w:tcPr>
            <w:tcW w:w="1721" w:type="dxa"/>
            <w:shd w:val="clear" w:color="auto" w:fill="auto"/>
            <w:vAlign w:val="center"/>
          </w:tcPr>
          <w:p w14:paraId="35FAEB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SOP管理</w:t>
            </w:r>
          </w:p>
        </w:tc>
        <w:tc>
          <w:tcPr>
            <w:tcW w:w="4003" w:type="dxa"/>
            <w:shd w:val="clear" w:color="auto" w:fill="auto"/>
            <w:vAlign w:val="center"/>
          </w:tcPr>
          <w:p w14:paraId="20DCE5FE">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sz w:val="24"/>
                <w:szCs w:val="24"/>
                <w:highlight w:val="none"/>
                <w:lang w:val="en-US" w:eastAsia="zh-CN"/>
              </w:rPr>
              <w:t>支持公告发布、SOP文件管理、法规文件管理。</w:t>
            </w:r>
          </w:p>
        </w:tc>
      </w:tr>
      <w:tr w14:paraId="3E5F1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35162E9">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60</w:t>
            </w:r>
          </w:p>
        </w:tc>
        <w:tc>
          <w:tcPr>
            <w:tcW w:w="414" w:type="dxa"/>
            <w:vMerge w:val="continue"/>
          </w:tcPr>
          <w:p w14:paraId="630D4FFD">
            <w:pPr>
              <w:pStyle w:val="3"/>
              <w:numPr>
                <w:ilvl w:val="0"/>
                <w:numId w:val="0"/>
              </w:numPr>
              <w:ind w:right="291" w:rightChars="0"/>
              <w:rPr>
                <w:rFonts w:hint="eastAsia"/>
                <w:highlight w:val="green"/>
                <w:vertAlign w:val="baseline"/>
                <w:lang w:val="en-US" w:eastAsia="zh-CN"/>
              </w:rPr>
            </w:pPr>
          </w:p>
        </w:tc>
        <w:tc>
          <w:tcPr>
            <w:tcW w:w="902" w:type="dxa"/>
            <w:vMerge w:val="continue"/>
          </w:tcPr>
          <w:p w14:paraId="275E3115">
            <w:pPr>
              <w:pStyle w:val="3"/>
              <w:numPr>
                <w:ilvl w:val="0"/>
                <w:numId w:val="0"/>
              </w:numPr>
              <w:ind w:right="291" w:rightChars="0"/>
              <w:rPr>
                <w:rFonts w:hint="eastAsia"/>
                <w:highlight w:val="green"/>
                <w:vertAlign w:val="baseline"/>
                <w:lang w:val="en-US" w:eastAsia="zh-CN"/>
              </w:rPr>
            </w:pPr>
          </w:p>
        </w:tc>
        <w:tc>
          <w:tcPr>
            <w:tcW w:w="1040" w:type="dxa"/>
            <w:vMerge w:val="continue"/>
          </w:tcPr>
          <w:p w14:paraId="3CCC82BC">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412C45B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组织人员管理</w:t>
            </w:r>
          </w:p>
        </w:tc>
        <w:tc>
          <w:tcPr>
            <w:tcW w:w="4003" w:type="dxa"/>
            <w:shd w:val="clear" w:color="auto" w:fill="auto"/>
            <w:vAlign w:val="center"/>
          </w:tcPr>
          <w:p w14:paraId="2ED94E3E">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t>机构办人员可查询和管理所有用户账号和个人简历信息，管理申办者、CRO和SMO字典库。</w:t>
            </w:r>
          </w:p>
        </w:tc>
      </w:tr>
      <w:tr w14:paraId="3D05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532DB572">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61</w:t>
            </w:r>
          </w:p>
        </w:tc>
        <w:tc>
          <w:tcPr>
            <w:tcW w:w="414" w:type="dxa"/>
            <w:vMerge w:val="continue"/>
          </w:tcPr>
          <w:p w14:paraId="4172A8CF">
            <w:pPr>
              <w:pStyle w:val="3"/>
              <w:numPr>
                <w:ilvl w:val="0"/>
                <w:numId w:val="0"/>
              </w:numPr>
              <w:ind w:right="291" w:rightChars="0"/>
              <w:rPr>
                <w:rFonts w:hint="eastAsia"/>
                <w:highlight w:val="green"/>
                <w:vertAlign w:val="baseline"/>
                <w:lang w:val="en-US" w:eastAsia="zh-CN"/>
              </w:rPr>
            </w:pPr>
          </w:p>
        </w:tc>
        <w:tc>
          <w:tcPr>
            <w:tcW w:w="902" w:type="dxa"/>
            <w:vMerge w:val="continue"/>
          </w:tcPr>
          <w:p w14:paraId="20E2B0F1">
            <w:pPr>
              <w:pStyle w:val="3"/>
              <w:numPr>
                <w:ilvl w:val="0"/>
                <w:numId w:val="0"/>
              </w:numPr>
              <w:ind w:right="291" w:rightChars="0"/>
              <w:rPr>
                <w:rFonts w:hint="eastAsia"/>
                <w:highlight w:val="green"/>
                <w:vertAlign w:val="baseline"/>
                <w:lang w:val="en-US" w:eastAsia="zh-CN"/>
              </w:rPr>
            </w:pPr>
          </w:p>
        </w:tc>
        <w:tc>
          <w:tcPr>
            <w:tcW w:w="1040" w:type="dxa"/>
          </w:tcPr>
          <w:p w14:paraId="314B9A39">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培训管理</w:t>
            </w:r>
          </w:p>
        </w:tc>
        <w:tc>
          <w:tcPr>
            <w:tcW w:w="1721" w:type="dxa"/>
            <w:shd w:val="clear" w:color="auto" w:fill="auto"/>
            <w:vAlign w:val="center"/>
          </w:tcPr>
          <w:p w14:paraId="4FC840D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培训管理</w:t>
            </w:r>
          </w:p>
        </w:tc>
        <w:tc>
          <w:tcPr>
            <w:tcW w:w="4003" w:type="dxa"/>
            <w:shd w:val="clear" w:color="auto" w:fill="auto"/>
            <w:vAlign w:val="center"/>
          </w:tcPr>
          <w:p w14:paraId="3633D29F">
            <w:pPr>
              <w:keepNext/>
              <w:keepLines/>
              <w:pageBreakBefore w:val="0"/>
              <w:widowControl w:val="0"/>
              <w:numPr>
                <w:ilvl w:val="4"/>
                <w:numId w:val="0"/>
              </w:numPr>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auto"/>
              <w:outlineLvl w:val="4"/>
              <w:rPr>
                <w:rFonts w:hint="eastAsia" w:ascii="Times New Roman" w:hAnsi="Times New Roman" w:eastAsia="宋体" w:cs="Times New Roman"/>
                <w:b w:val="0"/>
                <w:bCs w:val="0"/>
                <w:kern w:val="2"/>
                <w:sz w:val="24"/>
                <w:szCs w:val="24"/>
                <w:highlight w:val="none"/>
                <w:lang w:val="en-US" w:eastAsia="zh-CN" w:bidi="ar-SA"/>
              </w:rPr>
            </w:pPr>
            <w:r>
              <w:rPr>
                <w:rFonts w:hint="eastAsia" w:ascii="Times New Roman" w:hAnsi="Times New Roman" w:eastAsia="宋体" w:cs="Times New Roman"/>
                <w:b w:val="0"/>
                <w:bCs w:val="0"/>
                <w:kern w:val="2"/>
                <w:sz w:val="24"/>
                <w:szCs w:val="24"/>
                <w:highlight w:val="none"/>
                <w:lang w:val="en-US" w:eastAsia="zh-CN" w:bidi="ar-SA"/>
              </w:rPr>
              <w:t>支持机构上传培训视频及培训资料，供全院研究人员学习。支持机构维护考试题库，并随机生成试题进行考核。考核后自动阅卷，生成成绩表。</w:t>
            </w:r>
          </w:p>
        </w:tc>
      </w:tr>
      <w:tr w14:paraId="3F729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BC22696">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62</w:t>
            </w:r>
          </w:p>
        </w:tc>
        <w:tc>
          <w:tcPr>
            <w:tcW w:w="414" w:type="dxa"/>
            <w:vMerge w:val="continue"/>
          </w:tcPr>
          <w:p w14:paraId="3F0CA86C">
            <w:pPr>
              <w:pStyle w:val="3"/>
              <w:numPr>
                <w:ilvl w:val="0"/>
                <w:numId w:val="0"/>
              </w:numPr>
              <w:ind w:right="291" w:rightChars="0"/>
              <w:rPr>
                <w:rFonts w:hint="eastAsia"/>
                <w:highlight w:val="green"/>
                <w:vertAlign w:val="baseline"/>
                <w:lang w:val="en-US" w:eastAsia="zh-CN"/>
              </w:rPr>
            </w:pPr>
          </w:p>
        </w:tc>
        <w:tc>
          <w:tcPr>
            <w:tcW w:w="902" w:type="dxa"/>
            <w:vMerge w:val="continue"/>
          </w:tcPr>
          <w:p w14:paraId="282F9A0A">
            <w:pPr>
              <w:pStyle w:val="3"/>
              <w:numPr>
                <w:ilvl w:val="0"/>
                <w:numId w:val="0"/>
              </w:numPr>
              <w:ind w:right="291" w:rightChars="0"/>
              <w:rPr>
                <w:rFonts w:hint="eastAsia"/>
                <w:highlight w:val="green"/>
                <w:vertAlign w:val="baseline"/>
                <w:lang w:val="en-US" w:eastAsia="zh-CN"/>
              </w:rPr>
            </w:pPr>
          </w:p>
        </w:tc>
        <w:tc>
          <w:tcPr>
            <w:tcW w:w="1040" w:type="dxa"/>
            <w:shd w:val="clear" w:color="auto" w:fill="auto"/>
            <w:vAlign w:val="center"/>
          </w:tcPr>
          <w:p w14:paraId="648FCE9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审查进度查询</w:t>
            </w:r>
          </w:p>
        </w:tc>
        <w:tc>
          <w:tcPr>
            <w:tcW w:w="1721" w:type="dxa"/>
            <w:shd w:val="clear" w:color="auto" w:fill="auto"/>
            <w:vAlign w:val="center"/>
          </w:tcPr>
          <w:p w14:paraId="31E1A4C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审查进度一览</w:t>
            </w:r>
          </w:p>
        </w:tc>
        <w:tc>
          <w:tcPr>
            <w:tcW w:w="4003" w:type="dxa"/>
            <w:shd w:val="clear" w:color="auto" w:fill="auto"/>
            <w:vAlign w:val="center"/>
          </w:tcPr>
          <w:p w14:paraId="78D0DEE7">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highlight w:val="none"/>
                <w:lang w:val="en-US" w:eastAsia="zh-CN"/>
              </w:rPr>
              <w:t>实现</w:t>
            </w:r>
            <w:r>
              <w:rPr>
                <w:rFonts w:hint="default" w:ascii="Times New Roman" w:hAnsi="Times New Roman" w:eastAsia="宋体" w:cs="Times New Roman"/>
                <w:b w:val="0"/>
                <w:bCs w:val="0"/>
                <w:sz w:val="24"/>
                <w:szCs w:val="24"/>
                <w:highlight w:val="none"/>
                <w:lang w:val="en-US" w:eastAsia="zh-CN"/>
              </w:rPr>
              <w:t>审查进度总览，展示所有伦理审查的进展情况</w:t>
            </w:r>
            <w:r>
              <w:rPr>
                <w:rFonts w:hint="eastAsia" w:ascii="Times New Roman" w:hAnsi="Times New Roman" w:eastAsia="宋体" w:cs="Times New Roman"/>
                <w:b w:val="0"/>
                <w:bCs w:val="0"/>
                <w:sz w:val="24"/>
                <w:szCs w:val="24"/>
                <w:highlight w:val="none"/>
                <w:lang w:val="en-US" w:eastAsia="zh-CN"/>
              </w:rPr>
              <w:t>。</w:t>
            </w:r>
            <w:r>
              <w:rPr>
                <w:rFonts w:hint="default" w:ascii="Times New Roman" w:hAnsi="Times New Roman" w:eastAsia="宋体" w:cs="Times New Roman"/>
                <w:b w:val="0"/>
                <w:bCs w:val="0"/>
                <w:sz w:val="24"/>
                <w:szCs w:val="24"/>
                <w:highlight w:val="none"/>
                <w:lang w:val="en-US" w:eastAsia="zh-CN"/>
              </w:rPr>
              <w:t>支持按照伦理审查状态、审查方式、受理日期、伦理编号、专业组以及是否归档状态快速查询</w:t>
            </w:r>
            <w:r>
              <w:rPr>
                <w:rFonts w:hint="eastAsia" w:ascii="Times New Roman" w:hAnsi="Times New Roman" w:eastAsia="宋体" w:cs="Times New Roman"/>
                <w:b w:val="0"/>
                <w:bCs w:val="0"/>
                <w:sz w:val="24"/>
                <w:szCs w:val="24"/>
                <w:highlight w:val="none"/>
                <w:lang w:val="en-US" w:eastAsia="zh-CN"/>
              </w:rPr>
              <w:t>。</w:t>
            </w:r>
          </w:p>
        </w:tc>
      </w:tr>
      <w:tr w14:paraId="17415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B341D50">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63</w:t>
            </w:r>
          </w:p>
        </w:tc>
        <w:tc>
          <w:tcPr>
            <w:tcW w:w="414" w:type="dxa"/>
            <w:vMerge w:val="continue"/>
          </w:tcPr>
          <w:p w14:paraId="1E6D91EA">
            <w:pPr>
              <w:pStyle w:val="3"/>
              <w:numPr>
                <w:ilvl w:val="0"/>
                <w:numId w:val="0"/>
              </w:numPr>
              <w:ind w:right="291" w:rightChars="0"/>
              <w:rPr>
                <w:rFonts w:hint="eastAsia"/>
                <w:highlight w:val="green"/>
                <w:vertAlign w:val="baseline"/>
                <w:lang w:val="en-US" w:eastAsia="zh-CN"/>
              </w:rPr>
            </w:pPr>
          </w:p>
        </w:tc>
        <w:tc>
          <w:tcPr>
            <w:tcW w:w="902" w:type="dxa"/>
            <w:vMerge w:val="continue"/>
          </w:tcPr>
          <w:p w14:paraId="4D878335">
            <w:pPr>
              <w:pStyle w:val="3"/>
              <w:numPr>
                <w:ilvl w:val="0"/>
                <w:numId w:val="0"/>
              </w:numPr>
              <w:ind w:right="291" w:rightChars="0"/>
              <w:rPr>
                <w:rFonts w:hint="eastAsia"/>
                <w:highlight w:val="green"/>
                <w:vertAlign w:val="baseline"/>
                <w:lang w:val="en-US" w:eastAsia="zh-CN"/>
              </w:rPr>
            </w:pPr>
          </w:p>
        </w:tc>
        <w:tc>
          <w:tcPr>
            <w:tcW w:w="1040" w:type="dxa"/>
            <w:shd w:val="clear" w:color="auto" w:fill="auto"/>
            <w:vAlign w:val="center"/>
          </w:tcPr>
          <w:p w14:paraId="71A7F70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审查申请/报告</w:t>
            </w:r>
          </w:p>
        </w:tc>
        <w:tc>
          <w:tcPr>
            <w:tcW w:w="1721" w:type="dxa"/>
            <w:shd w:val="clear" w:color="auto" w:fill="auto"/>
            <w:vAlign w:val="center"/>
          </w:tcPr>
          <w:p w14:paraId="7258C8F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审查申请</w:t>
            </w:r>
          </w:p>
        </w:tc>
        <w:tc>
          <w:tcPr>
            <w:tcW w:w="4003" w:type="dxa"/>
            <w:shd w:val="clear" w:color="auto" w:fill="auto"/>
            <w:vAlign w:val="center"/>
          </w:tcPr>
          <w:p w14:paraId="0361296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auto"/>
                <w:kern w:val="0"/>
                <w:sz w:val="24"/>
                <w:szCs w:val="24"/>
                <w:highlight w:val="none"/>
                <w:u w:val="none"/>
                <w:lang w:val="en-US" w:eastAsia="zh" w:bidi="ar"/>
                <w:woUserID w:val="4"/>
              </w:rPr>
              <w:t>科学性审查通过的IIT项目/</w:t>
            </w:r>
            <w:r>
              <w:rPr>
                <w:rFonts w:hint="eastAsia" w:ascii="Times New Roman" w:hAnsi="Times New Roman" w:eastAsia="宋体" w:cs="Times New Roman"/>
                <w:b w:val="0"/>
                <w:bCs w:val="0"/>
                <w:i w:val="0"/>
                <w:iCs w:val="0"/>
                <w:color w:val="auto"/>
                <w:kern w:val="0"/>
                <w:sz w:val="24"/>
                <w:szCs w:val="24"/>
                <w:highlight w:val="none"/>
                <w:u w:val="none"/>
                <w:lang w:val="en-US" w:eastAsia="zh-CN" w:bidi="ar"/>
              </w:rPr>
              <w:t>立项通过</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的GCP项目</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自动同步到伦理</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审查管理模块</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，便于申请者快速发起初始伦理审查，无需重复创建项目。同时也支持在伦理系统新增</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科研</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项目</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可根据医院需求配置伦理送审文件清单，并支持定义哪些文件为必填项，哪些为非必填项，以及增加备注说明</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p>
          <w:p w14:paraId="71F321F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支持在上传送审文件时，填写文档版本号和版本日期</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。支持各类伦理审查类型(初始审查、修正案审查、年度/定期跟踪审查、严重不良事件审查、违背方案审查、暂停/终止研究审查、结题审查、其他审查等)。</w:t>
            </w:r>
          </w:p>
        </w:tc>
      </w:tr>
      <w:tr w14:paraId="394C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7007508">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64</w:t>
            </w:r>
          </w:p>
        </w:tc>
        <w:tc>
          <w:tcPr>
            <w:tcW w:w="414" w:type="dxa"/>
            <w:vMerge w:val="continue"/>
          </w:tcPr>
          <w:p w14:paraId="2FABB1E8">
            <w:pPr>
              <w:pStyle w:val="3"/>
              <w:numPr>
                <w:ilvl w:val="0"/>
                <w:numId w:val="0"/>
              </w:numPr>
              <w:ind w:right="291" w:rightChars="0"/>
              <w:rPr>
                <w:rFonts w:hint="eastAsia"/>
                <w:highlight w:val="green"/>
                <w:vertAlign w:val="baseline"/>
                <w:lang w:val="en-US" w:eastAsia="zh-CN"/>
              </w:rPr>
            </w:pPr>
          </w:p>
        </w:tc>
        <w:tc>
          <w:tcPr>
            <w:tcW w:w="902" w:type="dxa"/>
            <w:vMerge w:val="continue"/>
          </w:tcPr>
          <w:p w14:paraId="11E69C97">
            <w:pPr>
              <w:pStyle w:val="3"/>
              <w:numPr>
                <w:ilvl w:val="0"/>
                <w:numId w:val="0"/>
              </w:numPr>
              <w:ind w:right="291" w:rightChars="0"/>
              <w:rPr>
                <w:rFonts w:hint="eastAsia"/>
                <w:highlight w:val="green"/>
                <w:vertAlign w:val="baseline"/>
                <w:lang w:val="en-US" w:eastAsia="zh-CN"/>
              </w:rPr>
            </w:pPr>
          </w:p>
        </w:tc>
        <w:tc>
          <w:tcPr>
            <w:tcW w:w="1040" w:type="dxa"/>
            <w:vMerge w:val="restart"/>
          </w:tcPr>
          <w:p w14:paraId="79FB30F0">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伦理审查</w:t>
            </w:r>
          </w:p>
        </w:tc>
        <w:tc>
          <w:tcPr>
            <w:tcW w:w="1721" w:type="dxa"/>
            <w:shd w:val="clear" w:color="auto" w:fill="auto"/>
            <w:vAlign w:val="center"/>
          </w:tcPr>
          <w:p w14:paraId="7BB11F2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伦理受理</w:t>
            </w:r>
          </w:p>
        </w:tc>
        <w:tc>
          <w:tcPr>
            <w:tcW w:w="4003" w:type="dxa"/>
            <w:shd w:val="clear" w:color="auto" w:fill="auto"/>
            <w:vAlign w:val="center"/>
          </w:tcPr>
          <w:p w14:paraId="2F38BA5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伦理秘书</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在线</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的送审文件进行形式审查，支持</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送审文件的</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整体确认、逐个确认、逐个写反馈意见，</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可</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打回</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申请者。</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针对送审文件，</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支持直接</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预览</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打开</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，支持下载</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形式审查通过的审查，支持在线发布受理通知</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、支持发布缴费通知给申请者。</w:t>
            </w:r>
          </w:p>
        </w:tc>
      </w:tr>
      <w:tr w14:paraId="6BB68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DAC454F">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65</w:t>
            </w:r>
          </w:p>
        </w:tc>
        <w:tc>
          <w:tcPr>
            <w:tcW w:w="414" w:type="dxa"/>
            <w:vMerge w:val="continue"/>
          </w:tcPr>
          <w:p w14:paraId="5C60E9CC">
            <w:pPr>
              <w:pStyle w:val="3"/>
              <w:numPr>
                <w:ilvl w:val="0"/>
                <w:numId w:val="0"/>
              </w:numPr>
              <w:ind w:right="291" w:rightChars="0"/>
              <w:rPr>
                <w:rFonts w:hint="eastAsia"/>
                <w:highlight w:val="green"/>
                <w:vertAlign w:val="baseline"/>
                <w:lang w:val="en-US" w:eastAsia="zh-CN"/>
              </w:rPr>
            </w:pPr>
          </w:p>
        </w:tc>
        <w:tc>
          <w:tcPr>
            <w:tcW w:w="902" w:type="dxa"/>
            <w:vMerge w:val="continue"/>
          </w:tcPr>
          <w:p w14:paraId="474C680F">
            <w:pPr>
              <w:pStyle w:val="3"/>
              <w:numPr>
                <w:ilvl w:val="0"/>
                <w:numId w:val="0"/>
              </w:numPr>
              <w:ind w:right="291" w:rightChars="0"/>
              <w:rPr>
                <w:rFonts w:hint="eastAsia"/>
                <w:highlight w:val="green"/>
                <w:vertAlign w:val="baseline"/>
                <w:lang w:val="en-US" w:eastAsia="zh-CN"/>
              </w:rPr>
            </w:pPr>
          </w:p>
        </w:tc>
        <w:tc>
          <w:tcPr>
            <w:tcW w:w="1040" w:type="dxa"/>
            <w:vMerge w:val="continue"/>
          </w:tcPr>
          <w:p w14:paraId="35380701">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3826129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伦理审查</w:t>
            </w:r>
          </w:p>
        </w:tc>
        <w:tc>
          <w:tcPr>
            <w:tcW w:w="4003" w:type="dxa"/>
            <w:shd w:val="clear" w:color="auto" w:fill="auto"/>
            <w:vAlign w:val="center"/>
          </w:tcPr>
          <w:p w14:paraId="49AA150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支持不同的审查方式，包括快速审查、会议审查</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、备案</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支持快速审查转会议审查；支持在线授权主审委员，并追踪主审审查进度，比如</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各主审委员已阅、已审查状态</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p>
        </w:tc>
      </w:tr>
      <w:tr w14:paraId="2D29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56D5844">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66</w:t>
            </w:r>
          </w:p>
        </w:tc>
        <w:tc>
          <w:tcPr>
            <w:tcW w:w="414" w:type="dxa"/>
            <w:vMerge w:val="continue"/>
          </w:tcPr>
          <w:p w14:paraId="3FDB69CE">
            <w:pPr>
              <w:pStyle w:val="3"/>
              <w:numPr>
                <w:ilvl w:val="0"/>
                <w:numId w:val="0"/>
              </w:numPr>
              <w:ind w:right="291" w:rightChars="0"/>
              <w:rPr>
                <w:rFonts w:hint="eastAsia"/>
                <w:highlight w:val="green"/>
                <w:vertAlign w:val="baseline"/>
                <w:lang w:val="en-US" w:eastAsia="zh-CN"/>
              </w:rPr>
            </w:pPr>
          </w:p>
        </w:tc>
        <w:tc>
          <w:tcPr>
            <w:tcW w:w="902" w:type="dxa"/>
            <w:vMerge w:val="continue"/>
          </w:tcPr>
          <w:p w14:paraId="028FF1A8">
            <w:pPr>
              <w:pStyle w:val="3"/>
              <w:numPr>
                <w:ilvl w:val="0"/>
                <w:numId w:val="0"/>
              </w:numPr>
              <w:ind w:right="291" w:rightChars="0"/>
              <w:rPr>
                <w:rFonts w:hint="eastAsia"/>
                <w:highlight w:val="green"/>
                <w:vertAlign w:val="baseline"/>
                <w:lang w:val="en-US" w:eastAsia="zh-CN"/>
              </w:rPr>
            </w:pPr>
          </w:p>
        </w:tc>
        <w:tc>
          <w:tcPr>
            <w:tcW w:w="1040" w:type="dxa"/>
            <w:vMerge w:val="continue"/>
          </w:tcPr>
          <w:p w14:paraId="54BB351A">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64F21EF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决定传达</w:t>
            </w:r>
          </w:p>
        </w:tc>
        <w:tc>
          <w:tcPr>
            <w:tcW w:w="4003" w:type="dxa"/>
            <w:shd w:val="clear" w:color="auto" w:fill="auto"/>
            <w:vAlign w:val="center"/>
          </w:tcPr>
          <w:p w14:paraId="7E68543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支持伦理秘书在线编辑综合审查</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和会议审查决定</w:t>
            </w: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意见，在线传达审查决定</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p>
        </w:tc>
      </w:tr>
      <w:tr w14:paraId="69F4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EF2CFD2">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67</w:t>
            </w:r>
          </w:p>
        </w:tc>
        <w:tc>
          <w:tcPr>
            <w:tcW w:w="414" w:type="dxa"/>
            <w:vMerge w:val="continue"/>
          </w:tcPr>
          <w:p w14:paraId="74D5658A">
            <w:pPr>
              <w:pStyle w:val="3"/>
              <w:numPr>
                <w:ilvl w:val="0"/>
                <w:numId w:val="0"/>
              </w:numPr>
              <w:ind w:right="291" w:rightChars="0"/>
              <w:rPr>
                <w:rFonts w:hint="eastAsia"/>
                <w:highlight w:val="green"/>
                <w:vertAlign w:val="baseline"/>
                <w:lang w:val="en-US" w:eastAsia="zh-CN"/>
              </w:rPr>
            </w:pPr>
          </w:p>
        </w:tc>
        <w:tc>
          <w:tcPr>
            <w:tcW w:w="902" w:type="dxa"/>
            <w:vMerge w:val="continue"/>
          </w:tcPr>
          <w:p w14:paraId="2B554AEF">
            <w:pPr>
              <w:pStyle w:val="3"/>
              <w:numPr>
                <w:ilvl w:val="0"/>
                <w:numId w:val="0"/>
              </w:numPr>
              <w:ind w:right="291" w:rightChars="0"/>
              <w:rPr>
                <w:rFonts w:hint="eastAsia"/>
                <w:highlight w:val="green"/>
                <w:vertAlign w:val="baseline"/>
                <w:lang w:val="en-US" w:eastAsia="zh-CN"/>
              </w:rPr>
            </w:pPr>
          </w:p>
        </w:tc>
        <w:tc>
          <w:tcPr>
            <w:tcW w:w="1040" w:type="dxa"/>
            <w:vMerge w:val="continue"/>
          </w:tcPr>
          <w:p w14:paraId="25BDCBDC">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1E3365F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资料归档</w:t>
            </w:r>
          </w:p>
        </w:tc>
        <w:tc>
          <w:tcPr>
            <w:tcW w:w="4003" w:type="dxa"/>
            <w:shd w:val="clear" w:color="auto" w:fill="auto"/>
            <w:vAlign w:val="center"/>
          </w:tcPr>
          <w:p w14:paraId="353EE52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sz w:val="24"/>
                <w:szCs w:val="24"/>
                <w:highlight w:val="none"/>
                <w:lang w:val="en-US" w:eastAsia="zh-CN"/>
              </w:rPr>
              <w:t>审查结束后自动汇集此审查有关的所有电子文档和送审文档一键归档。</w:t>
            </w:r>
          </w:p>
        </w:tc>
      </w:tr>
      <w:tr w14:paraId="71378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2D4AA1B">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68</w:t>
            </w:r>
          </w:p>
        </w:tc>
        <w:tc>
          <w:tcPr>
            <w:tcW w:w="414" w:type="dxa"/>
            <w:vMerge w:val="continue"/>
          </w:tcPr>
          <w:p w14:paraId="6B668F5E">
            <w:pPr>
              <w:pStyle w:val="3"/>
              <w:numPr>
                <w:ilvl w:val="0"/>
                <w:numId w:val="0"/>
              </w:numPr>
              <w:ind w:right="291" w:rightChars="0"/>
              <w:rPr>
                <w:rFonts w:hint="eastAsia"/>
                <w:highlight w:val="green"/>
                <w:vertAlign w:val="baseline"/>
                <w:lang w:val="en-US" w:eastAsia="zh-CN"/>
              </w:rPr>
            </w:pPr>
          </w:p>
        </w:tc>
        <w:tc>
          <w:tcPr>
            <w:tcW w:w="902" w:type="dxa"/>
            <w:vMerge w:val="continue"/>
          </w:tcPr>
          <w:p w14:paraId="3DEEF2F1">
            <w:pPr>
              <w:pStyle w:val="3"/>
              <w:numPr>
                <w:ilvl w:val="0"/>
                <w:numId w:val="0"/>
              </w:numPr>
              <w:ind w:right="291" w:rightChars="0"/>
              <w:rPr>
                <w:rFonts w:hint="eastAsia"/>
                <w:highlight w:val="green"/>
                <w:vertAlign w:val="baseline"/>
                <w:lang w:val="en-US" w:eastAsia="zh-CN"/>
              </w:rPr>
            </w:pPr>
          </w:p>
        </w:tc>
        <w:tc>
          <w:tcPr>
            <w:tcW w:w="1040" w:type="dxa"/>
          </w:tcPr>
          <w:p w14:paraId="3FE35437">
            <w:pPr>
              <w:pStyle w:val="3"/>
              <w:numPr>
                <w:ilvl w:val="0"/>
                <w:numId w:val="0"/>
              </w:numPr>
              <w:ind w:right="291" w:rightChars="0"/>
              <w:rPr>
                <w:rFonts w:hint="eastAsia"/>
                <w:highlight w:val="green"/>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伦理会议管理</w:t>
            </w:r>
          </w:p>
        </w:tc>
        <w:tc>
          <w:tcPr>
            <w:tcW w:w="1721" w:type="dxa"/>
            <w:shd w:val="clear" w:color="auto" w:fill="auto"/>
            <w:vAlign w:val="center"/>
          </w:tcPr>
          <w:p w14:paraId="21696D7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伦理会议管理</w:t>
            </w:r>
          </w:p>
        </w:tc>
        <w:tc>
          <w:tcPr>
            <w:tcW w:w="4003" w:type="dxa"/>
            <w:shd w:val="clear" w:color="auto" w:fill="auto"/>
            <w:vAlign w:val="center"/>
          </w:tcPr>
          <w:p w14:paraId="55A9A9A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伦理秘书在线创建伦理会议，会议发布后通知参会委员并统计参会回执；支持伦理委员扫描二维码进行伦理会议签到；支持伦理秘书管理伦理会议的报告项目及审查项目，并对上会项目排序；支持会议期间，委员通过电脑或者平板电脑登录系统查阅上会项目资料和在线投票；具有系统自动统票功能，对不符合要求的投票结果及时提醒伦理秘书，如票数未过半数；支持上传多种类型会议文件，如会议日程、会议记录、投票单、签到表。</w:t>
            </w:r>
          </w:p>
        </w:tc>
      </w:tr>
      <w:tr w14:paraId="205EA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FA684D8">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69</w:t>
            </w:r>
          </w:p>
        </w:tc>
        <w:tc>
          <w:tcPr>
            <w:tcW w:w="414" w:type="dxa"/>
            <w:vMerge w:val="continue"/>
          </w:tcPr>
          <w:p w14:paraId="0DFD3B6D">
            <w:pPr>
              <w:pStyle w:val="3"/>
              <w:numPr>
                <w:ilvl w:val="0"/>
                <w:numId w:val="0"/>
              </w:numPr>
              <w:ind w:right="291" w:rightChars="0"/>
              <w:rPr>
                <w:rFonts w:hint="eastAsia"/>
                <w:highlight w:val="green"/>
                <w:vertAlign w:val="baseline"/>
                <w:lang w:val="en-US" w:eastAsia="zh-CN"/>
              </w:rPr>
            </w:pPr>
          </w:p>
        </w:tc>
        <w:tc>
          <w:tcPr>
            <w:tcW w:w="902" w:type="dxa"/>
            <w:vMerge w:val="continue"/>
          </w:tcPr>
          <w:p w14:paraId="466C40E0">
            <w:pPr>
              <w:pStyle w:val="3"/>
              <w:numPr>
                <w:ilvl w:val="0"/>
                <w:numId w:val="0"/>
              </w:numPr>
              <w:ind w:right="291" w:rightChars="0"/>
              <w:rPr>
                <w:rFonts w:hint="eastAsia"/>
                <w:highlight w:val="green"/>
                <w:vertAlign w:val="baseline"/>
                <w:lang w:val="en-US" w:eastAsia="zh-CN"/>
              </w:rPr>
            </w:pPr>
          </w:p>
        </w:tc>
        <w:tc>
          <w:tcPr>
            <w:tcW w:w="1040" w:type="dxa"/>
            <w:vMerge w:val="restart"/>
          </w:tcPr>
          <w:p w14:paraId="2E3884A7">
            <w:pPr>
              <w:pStyle w:val="3"/>
              <w:numPr>
                <w:ilvl w:val="0"/>
                <w:numId w:val="0"/>
              </w:numPr>
              <w:ind w:right="291" w:rightChars="0"/>
              <w:rPr>
                <w:rFonts w:hint="eastAsia"/>
                <w:highlight w:val="green"/>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委员在线审查</w:t>
            </w:r>
          </w:p>
        </w:tc>
        <w:tc>
          <w:tcPr>
            <w:tcW w:w="1721" w:type="dxa"/>
            <w:shd w:val="clear" w:color="auto" w:fill="auto"/>
            <w:vAlign w:val="center"/>
          </w:tcPr>
          <w:p w14:paraId="1D874CC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在线主审</w:t>
            </w:r>
          </w:p>
        </w:tc>
        <w:tc>
          <w:tcPr>
            <w:tcW w:w="4003" w:type="dxa"/>
            <w:shd w:val="clear" w:color="auto" w:fill="auto"/>
            <w:vAlign w:val="center"/>
          </w:tcPr>
          <w:p w14:paraId="5C47A40E">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委员在线接收主审任务，在线查看审查资料和填写主审工作表。</w:t>
            </w:r>
          </w:p>
        </w:tc>
      </w:tr>
      <w:tr w14:paraId="29796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432A897">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70</w:t>
            </w:r>
          </w:p>
        </w:tc>
        <w:tc>
          <w:tcPr>
            <w:tcW w:w="414" w:type="dxa"/>
            <w:vMerge w:val="continue"/>
          </w:tcPr>
          <w:p w14:paraId="67AD87CE">
            <w:pPr>
              <w:pStyle w:val="3"/>
              <w:numPr>
                <w:ilvl w:val="0"/>
                <w:numId w:val="0"/>
              </w:numPr>
              <w:ind w:right="291" w:rightChars="0"/>
              <w:rPr>
                <w:rFonts w:hint="eastAsia"/>
                <w:highlight w:val="green"/>
                <w:vertAlign w:val="baseline"/>
                <w:lang w:val="en-US" w:eastAsia="zh-CN"/>
              </w:rPr>
            </w:pPr>
          </w:p>
        </w:tc>
        <w:tc>
          <w:tcPr>
            <w:tcW w:w="902" w:type="dxa"/>
            <w:vMerge w:val="continue"/>
          </w:tcPr>
          <w:p w14:paraId="6EB3BDB0">
            <w:pPr>
              <w:pStyle w:val="3"/>
              <w:numPr>
                <w:ilvl w:val="0"/>
                <w:numId w:val="0"/>
              </w:numPr>
              <w:ind w:right="291" w:rightChars="0"/>
              <w:rPr>
                <w:rFonts w:hint="eastAsia"/>
                <w:highlight w:val="green"/>
                <w:vertAlign w:val="baseline"/>
                <w:lang w:val="en-US" w:eastAsia="zh-CN"/>
              </w:rPr>
            </w:pPr>
          </w:p>
        </w:tc>
        <w:tc>
          <w:tcPr>
            <w:tcW w:w="1040" w:type="dxa"/>
            <w:vMerge w:val="continue"/>
          </w:tcPr>
          <w:p w14:paraId="697CE59E">
            <w:pPr>
              <w:pStyle w:val="3"/>
              <w:numPr>
                <w:ilvl w:val="0"/>
                <w:numId w:val="0"/>
              </w:numPr>
              <w:ind w:right="291" w:rightChars="0"/>
              <w:rPr>
                <w:rFonts w:hint="eastAsia"/>
                <w:highlight w:val="green"/>
                <w:vertAlign w:val="baseline"/>
                <w:lang w:val="en-US" w:eastAsia="zh-CN"/>
              </w:rPr>
            </w:pPr>
          </w:p>
        </w:tc>
        <w:tc>
          <w:tcPr>
            <w:tcW w:w="1721" w:type="dxa"/>
            <w:shd w:val="clear" w:color="auto" w:fill="auto"/>
            <w:vAlign w:val="center"/>
          </w:tcPr>
          <w:p w14:paraId="094080C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会议审查</w:t>
            </w:r>
          </w:p>
        </w:tc>
        <w:tc>
          <w:tcPr>
            <w:tcW w:w="4003" w:type="dxa"/>
            <w:shd w:val="clear" w:color="auto" w:fill="auto"/>
            <w:vAlign w:val="center"/>
          </w:tcPr>
          <w:p w14:paraId="333839FE">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i w:val="0"/>
                <w:iCs w:val="0"/>
                <w:color w:val="000000"/>
                <w:sz w:val="24"/>
                <w:szCs w:val="24"/>
                <w:highlight w:val="none"/>
                <w:u w:val="none"/>
                <w:lang w:val="en-US" w:eastAsia="zh-CN"/>
              </w:rPr>
              <w:t>实现委员会前和会中查看上会项目资料，会议开始后电子签到和电子投票。</w:t>
            </w:r>
          </w:p>
        </w:tc>
      </w:tr>
      <w:tr w14:paraId="5283F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03D64D0">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71</w:t>
            </w:r>
          </w:p>
        </w:tc>
        <w:tc>
          <w:tcPr>
            <w:tcW w:w="414" w:type="dxa"/>
            <w:vMerge w:val="continue"/>
          </w:tcPr>
          <w:p w14:paraId="731AE810">
            <w:pPr>
              <w:pStyle w:val="3"/>
              <w:numPr>
                <w:ilvl w:val="0"/>
                <w:numId w:val="0"/>
              </w:numPr>
              <w:ind w:right="291" w:rightChars="0"/>
              <w:rPr>
                <w:rFonts w:hint="eastAsia"/>
                <w:highlight w:val="green"/>
                <w:vertAlign w:val="baseline"/>
                <w:lang w:val="en-US" w:eastAsia="zh-CN"/>
              </w:rPr>
            </w:pPr>
          </w:p>
        </w:tc>
        <w:tc>
          <w:tcPr>
            <w:tcW w:w="902" w:type="dxa"/>
            <w:vMerge w:val="continue"/>
          </w:tcPr>
          <w:p w14:paraId="2BC37BBD">
            <w:pPr>
              <w:pStyle w:val="3"/>
              <w:numPr>
                <w:ilvl w:val="0"/>
                <w:numId w:val="0"/>
              </w:numPr>
              <w:ind w:right="291" w:rightChars="0"/>
              <w:rPr>
                <w:rFonts w:hint="eastAsia"/>
                <w:highlight w:val="green"/>
                <w:vertAlign w:val="baseline"/>
                <w:lang w:val="en-US" w:eastAsia="zh-CN"/>
              </w:rPr>
            </w:pPr>
          </w:p>
        </w:tc>
        <w:tc>
          <w:tcPr>
            <w:tcW w:w="1040" w:type="dxa"/>
          </w:tcPr>
          <w:p w14:paraId="6950C8D6">
            <w:pPr>
              <w:pStyle w:val="3"/>
              <w:numPr>
                <w:ilvl w:val="0"/>
                <w:numId w:val="0"/>
              </w:numPr>
              <w:ind w:right="291" w:rightChars="0"/>
              <w:rPr>
                <w:rFonts w:hint="eastAsia"/>
                <w:highlight w:val="green"/>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审查查询</w:t>
            </w:r>
          </w:p>
        </w:tc>
        <w:tc>
          <w:tcPr>
            <w:tcW w:w="1721" w:type="dxa"/>
            <w:shd w:val="clear" w:color="auto" w:fill="auto"/>
            <w:vAlign w:val="center"/>
          </w:tcPr>
          <w:p w14:paraId="0173173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审查查询与统计</w:t>
            </w:r>
          </w:p>
        </w:tc>
        <w:tc>
          <w:tcPr>
            <w:tcW w:w="4003" w:type="dxa"/>
            <w:shd w:val="clear" w:color="auto" w:fill="auto"/>
            <w:vAlign w:val="center"/>
          </w:tcPr>
          <w:p w14:paraId="5ABE6AFA">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highlight w:val="none"/>
                <w:lang w:val="en-US" w:eastAsia="zh-CN"/>
              </w:rPr>
              <w:t>支持按照不同的查询条件进行查询项目进展，包括审查项目查询、审查会议查询、审查类别查询、审查方式查询等。</w:t>
            </w:r>
          </w:p>
        </w:tc>
      </w:tr>
      <w:tr w14:paraId="11C7EC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18A8F18">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72</w:t>
            </w:r>
          </w:p>
        </w:tc>
        <w:tc>
          <w:tcPr>
            <w:tcW w:w="414" w:type="dxa"/>
            <w:vMerge w:val="continue"/>
          </w:tcPr>
          <w:p w14:paraId="5A962466">
            <w:pPr>
              <w:pStyle w:val="3"/>
              <w:numPr>
                <w:ilvl w:val="0"/>
                <w:numId w:val="0"/>
              </w:numPr>
              <w:ind w:right="291" w:rightChars="0"/>
              <w:rPr>
                <w:rFonts w:hint="eastAsia"/>
                <w:highlight w:val="green"/>
                <w:vertAlign w:val="baseline"/>
                <w:lang w:val="en-US" w:eastAsia="zh-CN"/>
              </w:rPr>
            </w:pPr>
          </w:p>
        </w:tc>
        <w:tc>
          <w:tcPr>
            <w:tcW w:w="902" w:type="dxa"/>
            <w:vMerge w:val="continue"/>
          </w:tcPr>
          <w:p w14:paraId="1457325B">
            <w:pPr>
              <w:pStyle w:val="3"/>
              <w:numPr>
                <w:ilvl w:val="0"/>
                <w:numId w:val="0"/>
              </w:numPr>
              <w:ind w:right="291" w:rightChars="0"/>
              <w:rPr>
                <w:rFonts w:hint="eastAsia"/>
                <w:highlight w:val="green"/>
                <w:vertAlign w:val="baseline"/>
                <w:lang w:val="en-US" w:eastAsia="zh-CN"/>
              </w:rPr>
            </w:pPr>
          </w:p>
        </w:tc>
        <w:tc>
          <w:tcPr>
            <w:tcW w:w="1040" w:type="dxa"/>
            <w:vMerge w:val="restart"/>
          </w:tcPr>
          <w:p w14:paraId="29AF2660">
            <w:pPr>
              <w:pStyle w:val="3"/>
              <w:numPr>
                <w:ilvl w:val="0"/>
                <w:numId w:val="0"/>
              </w:numPr>
              <w:ind w:right="291" w:rightChars="0"/>
              <w:rPr>
                <w:rFonts w:hint="eastAsia"/>
                <w:highlight w:val="green"/>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伦理办公室管理</w:t>
            </w:r>
          </w:p>
        </w:tc>
        <w:tc>
          <w:tcPr>
            <w:tcW w:w="1721" w:type="dxa"/>
            <w:shd w:val="clear" w:color="auto" w:fill="auto"/>
            <w:vAlign w:val="center"/>
          </w:tcPr>
          <w:p w14:paraId="074953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跟踪审查提醒</w:t>
            </w:r>
          </w:p>
        </w:tc>
        <w:tc>
          <w:tcPr>
            <w:tcW w:w="4003" w:type="dxa"/>
            <w:shd w:val="clear" w:color="auto" w:fill="auto"/>
            <w:vAlign w:val="center"/>
          </w:tcPr>
          <w:p w14:paraId="3578B302">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sz w:val="24"/>
                <w:szCs w:val="24"/>
                <w:highlight w:val="none"/>
                <w:lang w:val="en-US" w:eastAsia="zh-CN"/>
              </w:rPr>
              <w:t>支持设置每个项目的跟踪审查周期，临近跟踪审查日期或者超过跟踪审查日期将进行自动提醒，支持手动提醒。对于跟踪审查临期和超期的项目自动生成清单，并通过不同颜色进行警示。</w:t>
            </w:r>
          </w:p>
        </w:tc>
      </w:tr>
      <w:tr w14:paraId="0AC1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E279678">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73</w:t>
            </w:r>
          </w:p>
        </w:tc>
        <w:tc>
          <w:tcPr>
            <w:tcW w:w="414" w:type="dxa"/>
            <w:vMerge w:val="continue"/>
          </w:tcPr>
          <w:p w14:paraId="00850272">
            <w:pPr>
              <w:pStyle w:val="3"/>
              <w:numPr>
                <w:ilvl w:val="0"/>
                <w:numId w:val="0"/>
              </w:numPr>
              <w:ind w:right="291" w:rightChars="0"/>
              <w:rPr>
                <w:rFonts w:hint="eastAsia"/>
                <w:highlight w:val="green"/>
                <w:vertAlign w:val="baseline"/>
                <w:lang w:val="en-US" w:eastAsia="zh-CN"/>
              </w:rPr>
            </w:pPr>
          </w:p>
        </w:tc>
        <w:tc>
          <w:tcPr>
            <w:tcW w:w="902" w:type="dxa"/>
            <w:vMerge w:val="continue"/>
          </w:tcPr>
          <w:p w14:paraId="6BE35638">
            <w:pPr>
              <w:pStyle w:val="3"/>
              <w:numPr>
                <w:ilvl w:val="0"/>
                <w:numId w:val="0"/>
              </w:numPr>
              <w:ind w:right="291" w:rightChars="0"/>
              <w:rPr>
                <w:rFonts w:hint="eastAsia"/>
                <w:highlight w:val="green"/>
                <w:vertAlign w:val="baseline"/>
                <w:lang w:val="en-US" w:eastAsia="zh-CN"/>
              </w:rPr>
            </w:pPr>
          </w:p>
        </w:tc>
        <w:tc>
          <w:tcPr>
            <w:tcW w:w="1040" w:type="dxa"/>
            <w:vMerge w:val="continue"/>
          </w:tcPr>
          <w:p w14:paraId="7A6A5EE9">
            <w:pPr>
              <w:pStyle w:val="3"/>
              <w:numPr>
                <w:ilvl w:val="0"/>
                <w:numId w:val="0"/>
              </w:numPr>
              <w:ind w:right="291" w:rightChars="0"/>
              <w:rPr>
                <w:rFonts w:hint="eastAsia"/>
                <w:highlight w:val="green"/>
                <w:vertAlign w:val="baseline"/>
                <w:lang w:val="en-US" w:eastAsia="zh-CN"/>
              </w:rPr>
            </w:pPr>
          </w:p>
        </w:tc>
        <w:tc>
          <w:tcPr>
            <w:tcW w:w="1721" w:type="dxa"/>
            <w:shd w:val="clear" w:color="auto" w:fill="auto"/>
            <w:vAlign w:val="center"/>
          </w:tcPr>
          <w:p w14:paraId="15F03C2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伦理委员会SOP管理</w:t>
            </w:r>
          </w:p>
        </w:tc>
        <w:tc>
          <w:tcPr>
            <w:tcW w:w="4003" w:type="dxa"/>
            <w:shd w:val="clear" w:color="auto" w:fill="auto"/>
            <w:vAlign w:val="center"/>
          </w:tcPr>
          <w:p w14:paraId="4F0D3B98">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kern w:val="2"/>
                <w:sz w:val="24"/>
                <w:szCs w:val="24"/>
                <w:highlight w:val="none"/>
                <w:lang w:val="en-US" w:eastAsia="zh-CN"/>
              </w:rPr>
              <w:t>支持</w:t>
            </w:r>
            <w:r>
              <w:rPr>
                <w:rFonts w:hint="eastAsia" w:ascii="Times New Roman" w:hAnsi="Times New Roman" w:eastAsia="宋体" w:cs="Times New Roman"/>
                <w:b w:val="0"/>
                <w:bCs w:val="0"/>
                <w:kern w:val="2"/>
                <w:sz w:val="24"/>
                <w:szCs w:val="24"/>
                <w:highlight w:val="none"/>
                <w:lang w:val="en-US"/>
              </w:rPr>
              <w:t>伦理委员会SOP管理、法规与指南发布</w:t>
            </w:r>
            <w:r>
              <w:rPr>
                <w:rFonts w:hint="eastAsia" w:ascii="Times New Roman" w:hAnsi="Times New Roman" w:eastAsia="宋体" w:cs="Times New Roman"/>
                <w:b w:val="0"/>
                <w:bCs w:val="0"/>
                <w:kern w:val="2"/>
                <w:sz w:val="24"/>
                <w:szCs w:val="24"/>
                <w:highlight w:val="none"/>
                <w:lang w:val="en-US" w:eastAsia="zh-CN"/>
              </w:rPr>
              <w:t>、公告发布。</w:t>
            </w:r>
          </w:p>
        </w:tc>
      </w:tr>
      <w:tr w14:paraId="78042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741E323">
            <w:pPr>
              <w:pStyle w:val="3"/>
              <w:numPr>
                <w:ilvl w:val="0"/>
                <w:numId w:val="0"/>
              </w:numPr>
              <w:ind w:left="0" w:leftChars="0" w:right="291" w:rightChars="0" w:firstLine="0" w:firstLineChars="0"/>
              <w:rPr>
                <w:rFonts w:hint="eastAsia"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74</w:t>
            </w:r>
          </w:p>
        </w:tc>
        <w:tc>
          <w:tcPr>
            <w:tcW w:w="414" w:type="dxa"/>
            <w:vMerge w:val="continue"/>
          </w:tcPr>
          <w:p w14:paraId="48CB031B">
            <w:pPr>
              <w:pStyle w:val="3"/>
              <w:numPr>
                <w:ilvl w:val="0"/>
                <w:numId w:val="0"/>
              </w:numPr>
              <w:ind w:right="291" w:rightChars="0"/>
              <w:rPr>
                <w:rFonts w:hint="eastAsia"/>
                <w:highlight w:val="green"/>
                <w:vertAlign w:val="baseline"/>
                <w:lang w:val="en-US" w:eastAsia="zh-CN"/>
              </w:rPr>
            </w:pPr>
          </w:p>
        </w:tc>
        <w:tc>
          <w:tcPr>
            <w:tcW w:w="902" w:type="dxa"/>
            <w:vMerge w:val="continue"/>
          </w:tcPr>
          <w:p w14:paraId="0B6FC54D">
            <w:pPr>
              <w:pStyle w:val="3"/>
              <w:numPr>
                <w:ilvl w:val="0"/>
                <w:numId w:val="0"/>
              </w:numPr>
              <w:ind w:right="291" w:rightChars="0"/>
              <w:rPr>
                <w:rFonts w:hint="eastAsia"/>
                <w:highlight w:val="green"/>
                <w:vertAlign w:val="baseline"/>
                <w:lang w:val="en-US" w:eastAsia="zh-CN"/>
              </w:rPr>
            </w:pPr>
          </w:p>
        </w:tc>
        <w:tc>
          <w:tcPr>
            <w:tcW w:w="1040" w:type="dxa"/>
            <w:vMerge w:val="continue"/>
          </w:tcPr>
          <w:p w14:paraId="6740C627">
            <w:pPr>
              <w:pStyle w:val="3"/>
              <w:numPr>
                <w:ilvl w:val="0"/>
                <w:numId w:val="0"/>
              </w:numPr>
              <w:ind w:right="291" w:rightChars="0"/>
              <w:rPr>
                <w:rFonts w:hint="eastAsia"/>
                <w:highlight w:val="green"/>
                <w:vertAlign w:val="baseline"/>
                <w:lang w:val="en-US" w:eastAsia="zh-CN"/>
              </w:rPr>
            </w:pPr>
          </w:p>
        </w:tc>
        <w:tc>
          <w:tcPr>
            <w:tcW w:w="1721" w:type="dxa"/>
            <w:shd w:val="clear" w:color="auto" w:fill="auto"/>
            <w:vAlign w:val="center"/>
          </w:tcPr>
          <w:p w14:paraId="6E45A3A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伦理委员会管理</w:t>
            </w:r>
          </w:p>
        </w:tc>
        <w:tc>
          <w:tcPr>
            <w:tcW w:w="4003" w:type="dxa"/>
            <w:shd w:val="clear" w:color="auto" w:fill="auto"/>
            <w:vAlign w:val="center"/>
          </w:tcPr>
          <w:p w14:paraId="06DF416A">
            <w:pPr>
              <w:keepNext w:val="0"/>
              <w:keepLines w:val="0"/>
              <w:pageBreakBefore w:val="0"/>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i w:val="0"/>
                <w:iCs w:val="0"/>
                <w:color w:val="000000"/>
                <w:kern w:val="2"/>
                <w:sz w:val="24"/>
                <w:szCs w:val="24"/>
                <w:highlight w:val="none"/>
                <w:u w:val="none"/>
                <w:lang w:val="en-US" w:eastAsia="zh-CN" w:bidi="ar-SA"/>
              </w:rPr>
            </w:pPr>
            <w:r>
              <w:rPr>
                <w:rFonts w:hint="eastAsia" w:ascii="Times New Roman" w:hAnsi="Times New Roman" w:eastAsia="宋体" w:cs="Times New Roman"/>
                <w:b w:val="0"/>
                <w:bCs w:val="0"/>
                <w:kern w:val="2"/>
                <w:sz w:val="24"/>
                <w:szCs w:val="24"/>
                <w:highlight w:val="none"/>
                <w:lang w:val="en-US" w:eastAsia="zh-CN"/>
              </w:rPr>
              <w:t>实现</w:t>
            </w:r>
            <w:r>
              <w:rPr>
                <w:rFonts w:hint="default" w:ascii="Times New Roman" w:hAnsi="Times New Roman" w:eastAsia="宋体" w:cs="Times New Roman"/>
                <w:b w:val="0"/>
                <w:bCs w:val="0"/>
                <w:kern w:val="2"/>
                <w:sz w:val="24"/>
                <w:szCs w:val="24"/>
                <w:highlight w:val="none"/>
                <w:lang w:val="en-US"/>
              </w:rPr>
              <w:t>伦理委员会</w:t>
            </w:r>
            <w:r>
              <w:rPr>
                <w:rFonts w:hint="eastAsia" w:ascii="Times New Roman" w:hAnsi="Times New Roman" w:eastAsia="宋体" w:cs="Times New Roman"/>
                <w:b w:val="0"/>
                <w:bCs w:val="0"/>
                <w:kern w:val="2"/>
                <w:sz w:val="24"/>
                <w:szCs w:val="24"/>
                <w:highlight w:val="none"/>
                <w:lang w:val="en-US" w:eastAsia="zh-CN"/>
              </w:rPr>
              <w:t>信息维护</w:t>
            </w:r>
            <w:r>
              <w:rPr>
                <w:rFonts w:hint="eastAsia" w:ascii="Times New Roman" w:hAnsi="Times New Roman" w:eastAsia="宋体" w:cs="Times New Roman"/>
                <w:b w:val="0"/>
                <w:bCs w:val="0"/>
                <w:kern w:val="2"/>
                <w:sz w:val="24"/>
                <w:szCs w:val="24"/>
                <w:highlight w:val="none"/>
                <w:lang w:val="en-US"/>
              </w:rPr>
              <w:t>，</w:t>
            </w:r>
            <w:r>
              <w:rPr>
                <w:rFonts w:hint="default" w:ascii="Times New Roman" w:hAnsi="Times New Roman" w:eastAsia="宋体" w:cs="Times New Roman"/>
                <w:b w:val="0"/>
                <w:bCs w:val="0"/>
                <w:kern w:val="2"/>
                <w:sz w:val="24"/>
                <w:szCs w:val="24"/>
                <w:highlight w:val="none"/>
                <w:lang w:val="en-US"/>
              </w:rPr>
              <w:t>支持历届伦理委员会成员授权管理</w:t>
            </w:r>
            <w:r>
              <w:rPr>
                <w:rFonts w:hint="eastAsia" w:ascii="Times New Roman" w:hAnsi="Times New Roman" w:eastAsia="宋体" w:cs="Times New Roman"/>
                <w:b w:val="0"/>
                <w:bCs w:val="0"/>
                <w:kern w:val="2"/>
                <w:sz w:val="24"/>
                <w:szCs w:val="24"/>
                <w:highlight w:val="none"/>
                <w:lang w:val="en-US" w:eastAsia="zh-CN"/>
              </w:rPr>
              <w:t>。</w:t>
            </w:r>
          </w:p>
        </w:tc>
      </w:tr>
      <w:tr w14:paraId="1546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2153B29">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75</w:t>
            </w:r>
          </w:p>
        </w:tc>
        <w:tc>
          <w:tcPr>
            <w:tcW w:w="414" w:type="dxa"/>
            <w:vMerge w:val="continue"/>
          </w:tcPr>
          <w:p w14:paraId="0A8DD2E4">
            <w:pPr>
              <w:pStyle w:val="3"/>
              <w:numPr>
                <w:ilvl w:val="0"/>
                <w:numId w:val="0"/>
              </w:numPr>
              <w:ind w:right="291" w:rightChars="0"/>
              <w:rPr>
                <w:rFonts w:hint="eastAsia"/>
                <w:highlight w:val="none"/>
                <w:vertAlign w:val="baseline"/>
                <w:lang w:val="en-US" w:eastAsia="zh-CN"/>
              </w:rPr>
            </w:pPr>
          </w:p>
        </w:tc>
        <w:tc>
          <w:tcPr>
            <w:tcW w:w="902" w:type="dxa"/>
            <w:vMerge w:val="restart"/>
          </w:tcPr>
          <w:p w14:paraId="3C9E3B4E">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IIT</w:t>
            </w: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w:t>
            </w:r>
          </w:p>
        </w:tc>
        <w:tc>
          <w:tcPr>
            <w:tcW w:w="1040" w:type="dxa"/>
            <w:shd w:val="clear" w:color="auto" w:fill="auto"/>
            <w:vAlign w:val="center"/>
          </w:tcPr>
          <w:p w14:paraId="05D2DE0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审查申请</w:t>
            </w:r>
          </w:p>
        </w:tc>
        <w:tc>
          <w:tcPr>
            <w:tcW w:w="1721" w:type="dxa"/>
            <w:shd w:val="clear" w:color="auto" w:fill="auto"/>
            <w:vAlign w:val="center"/>
          </w:tcPr>
          <w:p w14:paraId="6C39B74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审查申请</w:t>
            </w:r>
          </w:p>
        </w:tc>
        <w:tc>
          <w:tcPr>
            <w:tcW w:w="4003" w:type="dxa"/>
            <w:shd w:val="clear" w:color="auto" w:fill="auto"/>
            <w:vAlign w:val="center"/>
          </w:tcPr>
          <w:p w14:paraId="65D3B9A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填写立项申请的IIT项目自动同步到科学性审查环节，无需重复创建项目。同时也支持在科学性审查系统系新增科研项目。可根据医院科学性审查送审文件清单，并支持定义哪些文件为必填项，哪些为非必填项，以及增加备注说明。</w:t>
            </w:r>
          </w:p>
          <w:p w14:paraId="2E8FECC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支持在上传送审文件时，填写文档版本号和版本日期。支持各类科学性审查类型（初始审查、修正案审查等）。</w:t>
            </w:r>
          </w:p>
        </w:tc>
      </w:tr>
      <w:tr w14:paraId="2E393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C3F075B">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76</w:t>
            </w:r>
          </w:p>
        </w:tc>
        <w:tc>
          <w:tcPr>
            <w:tcW w:w="414" w:type="dxa"/>
            <w:vMerge w:val="continue"/>
          </w:tcPr>
          <w:p w14:paraId="64EDB0EA">
            <w:pPr>
              <w:pStyle w:val="3"/>
              <w:numPr>
                <w:ilvl w:val="0"/>
                <w:numId w:val="0"/>
              </w:numPr>
              <w:ind w:right="291" w:rightChars="0"/>
              <w:rPr>
                <w:rFonts w:hint="eastAsia"/>
                <w:highlight w:val="none"/>
                <w:vertAlign w:val="baseline"/>
                <w:lang w:val="en-US" w:eastAsia="zh-CN"/>
              </w:rPr>
            </w:pPr>
          </w:p>
        </w:tc>
        <w:tc>
          <w:tcPr>
            <w:tcW w:w="902" w:type="dxa"/>
            <w:vMerge w:val="continue"/>
          </w:tcPr>
          <w:p w14:paraId="7D161F44">
            <w:pPr>
              <w:pStyle w:val="3"/>
              <w:numPr>
                <w:ilvl w:val="0"/>
                <w:numId w:val="0"/>
              </w:numPr>
              <w:ind w:right="291" w:rightChars="0"/>
              <w:rPr>
                <w:rFonts w:hint="eastAsia"/>
                <w:highlight w:val="none"/>
                <w:vertAlign w:val="baseline"/>
                <w:lang w:val="en-US" w:eastAsia="zh-CN"/>
              </w:rPr>
            </w:pPr>
          </w:p>
        </w:tc>
        <w:tc>
          <w:tcPr>
            <w:tcW w:w="1040" w:type="dxa"/>
            <w:vMerge w:val="restart"/>
          </w:tcPr>
          <w:p w14:paraId="1662C8DD">
            <w:pPr>
              <w:pStyle w:val="3"/>
              <w:numPr>
                <w:ilvl w:val="0"/>
                <w:numId w:val="0"/>
              </w:numPr>
              <w:ind w:right="291" w:rightChars="0"/>
              <w:rPr>
                <w:rFonts w:hint="eastAsia"/>
                <w:highlight w:val="none"/>
                <w:vertAlign w:val="baseline"/>
                <w:lang w:val="en-US" w:eastAsia="zh-CN"/>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w:t>
            </w:r>
          </w:p>
        </w:tc>
        <w:tc>
          <w:tcPr>
            <w:tcW w:w="1721" w:type="dxa"/>
            <w:shd w:val="clear" w:color="auto" w:fill="auto"/>
            <w:vAlign w:val="center"/>
          </w:tcPr>
          <w:p w14:paraId="770CC4B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受理</w:t>
            </w:r>
          </w:p>
        </w:tc>
        <w:tc>
          <w:tcPr>
            <w:tcW w:w="4003" w:type="dxa"/>
            <w:shd w:val="clear" w:color="auto" w:fill="auto"/>
            <w:vAlign w:val="center"/>
          </w:tcPr>
          <w:p w14:paraId="3116607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填写立项申请的IIT项目自动同步到科学性审查环节，无需重复创建项目。同时也支持在科学性审查系统系新增科研项目。可根据医院科学性审查送审文件清单，并支持定义哪些文件为必填项，哪些为非必填项，以及增加备注说明。</w:t>
            </w:r>
          </w:p>
          <w:p w14:paraId="454DA2A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支持在上传送审文件时，填写文档版本号和版本日期。支持各类科学性审查类型（初始审查、修正案审查等）。</w:t>
            </w:r>
          </w:p>
        </w:tc>
      </w:tr>
      <w:tr w14:paraId="0C13F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3EBBA46">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77</w:t>
            </w:r>
          </w:p>
        </w:tc>
        <w:tc>
          <w:tcPr>
            <w:tcW w:w="414" w:type="dxa"/>
            <w:vMerge w:val="continue"/>
          </w:tcPr>
          <w:p w14:paraId="40582A85">
            <w:pPr>
              <w:pStyle w:val="3"/>
              <w:numPr>
                <w:ilvl w:val="0"/>
                <w:numId w:val="0"/>
              </w:numPr>
              <w:ind w:right="291" w:rightChars="0"/>
              <w:rPr>
                <w:rFonts w:hint="eastAsia"/>
                <w:highlight w:val="none"/>
                <w:vertAlign w:val="baseline"/>
                <w:lang w:val="en-US" w:eastAsia="zh-CN"/>
              </w:rPr>
            </w:pPr>
          </w:p>
        </w:tc>
        <w:tc>
          <w:tcPr>
            <w:tcW w:w="902" w:type="dxa"/>
            <w:vMerge w:val="continue"/>
          </w:tcPr>
          <w:p w14:paraId="0B9EC309">
            <w:pPr>
              <w:pStyle w:val="3"/>
              <w:numPr>
                <w:ilvl w:val="0"/>
                <w:numId w:val="0"/>
              </w:numPr>
              <w:ind w:right="291" w:rightChars="0"/>
              <w:rPr>
                <w:rFonts w:hint="eastAsia"/>
                <w:highlight w:val="none"/>
                <w:vertAlign w:val="baseline"/>
                <w:lang w:val="en-US" w:eastAsia="zh-CN"/>
              </w:rPr>
            </w:pPr>
          </w:p>
        </w:tc>
        <w:tc>
          <w:tcPr>
            <w:tcW w:w="1040" w:type="dxa"/>
            <w:vMerge w:val="continue"/>
          </w:tcPr>
          <w:p w14:paraId="7971BB65">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54BC4AB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w:t>
            </w:r>
          </w:p>
        </w:tc>
        <w:tc>
          <w:tcPr>
            <w:tcW w:w="4003" w:type="dxa"/>
            <w:shd w:val="clear" w:color="auto" w:fill="auto"/>
            <w:vAlign w:val="center"/>
          </w:tcPr>
          <w:p w14:paraId="0729C9C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支持不同的审查方式，包括快速审查、会议审查、备案；支持快速审查转会议审查；支持在线选择评审专家，授权主审专家，并追踪主审审查进度，比如各专家已阅、已审查状态。</w:t>
            </w:r>
          </w:p>
        </w:tc>
      </w:tr>
      <w:tr w14:paraId="4612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744D528">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78</w:t>
            </w:r>
          </w:p>
        </w:tc>
        <w:tc>
          <w:tcPr>
            <w:tcW w:w="414" w:type="dxa"/>
            <w:vMerge w:val="continue"/>
          </w:tcPr>
          <w:p w14:paraId="6A4D8672">
            <w:pPr>
              <w:pStyle w:val="3"/>
              <w:numPr>
                <w:ilvl w:val="0"/>
                <w:numId w:val="0"/>
              </w:numPr>
              <w:ind w:right="291" w:rightChars="0"/>
              <w:rPr>
                <w:rFonts w:hint="eastAsia"/>
                <w:highlight w:val="none"/>
                <w:vertAlign w:val="baseline"/>
                <w:lang w:val="en-US" w:eastAsia="zh-CN"/>
              </w:rPr>
            </w:pPr>
          </w:p>
        </w:tc>
        <w:tc>
          <w:tcPr>
            <w:tcW w:w="902" w:type="dxa"/>
            <w:vMerge w:val="continue"/>
          </w:tcPr>
          <w:p w14:paraId="7C9993A1">
            <w:pPr>
              <w:pStyle w:val="3"/>
              <w:numPr>
                <w:ilvl w:val="0"/>
                <w:numId w:val="0"/>
              </w:numPr>
              <w:ind w:right="291" w:rightChars="0"/>
              <w:rPr>
                <w:rFonts w:hint="eastAsia"/>
                <w:highlight w:val="none"/>
                <w:vertAlign w:val="baseline"/>
                <w:lang w:val="en-US" w:eastAsia="zh-CN"/>
              </w:rPr>
            </w:pPr>
          </w:p>
        </w:tc>
        <w:tc>
          <w:tcPr>
            <w:tcW w:w="1040" w:type="dxa"/>
            <w:vMerge w:val="continue"/>
          </w:tcPr>
          <w:p w14:paraId="403F05F4">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44D6A21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评审工具</w:t>
            </w:r>
          </w:p>
        </w:tc>
        <w:tc>
          <w:tcPr>
            <w:tcW w:w="4003" w:type="dxa"/>
            <w:shd w:val="clear" w:color="auto" w:fill="auto"/>
            <w:vAlign w:val="center"/>
          </w:tcPr>
          <w:p w14:paraId="2A86AEC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根据医院科学性审查方式和审查要点，</w:t>
            </w:r>
            <w:r>
              <w:rPr>
                <w:rFonts w:hint="eastAsia" w:ascii="Times New Roman" w:hAnsi="Times New Roman" w:eastAsia="宋体" w:cs="Times New Roman"/>
                <w:b w:val="0"/>
                <w:bCs w:val="0"/>
                <w:i w:val="0"/>
                <w:iCs w:val="0"/>
                <w:color w:val="000000"/>
                <w:kern w:val="0"/>
                <w:sz w:val="24"/>
                <w:szCs w:val="24"/>
                <w:highlight w:val="none"/>
                <w:u w:val="none"/>
                <w:lang w:val="en-US" w:eastAsia="zh" w:bidi="ar"/>
              </w:rPr>
              <w:t>自定义</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配置线上评审</w:t>
            </w: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工作表</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w:t>
            </w:r>
          </w:p>
          <w:p w14:paraId="1F10714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预置常见问题模板。</w:t>
            </w:r>
          </w:p>
        </w:tc>
      </w:tr>
      <w:tr w14:paraId="56B18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B72D25E">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79</w:t>
            </w:r>
          </w:p>
        </w:tc>
        <w:tc>
          <w:tcPr>
            <w:tcW w:w="414" w:type="dxa"/>
            <w:vMerge w:val="continue"/>
          </w:tcPr>
          <w:p w14:paraId="4DE3404D">
            <w:pPr>
              <w:pStyle w:val="3"/>
              <w:numPr>
                <w:ilvl w:val="0"/>
                <w:numId w:val="0"/>
              </w:numPr>
              <w:ind w:right="291" w:rightChars="0"/>
              <w:rPr>
                <w:rFonts w:hint="eastAsia"/>
                <w:highlight w:val="none"/>
                <w:vertAlign w:val="baseline"/>
                <w:lang w:val="en-US" w:eastAsia="zh-CN"/>
              </w:rPr>
            </w:pPr>
          </w:p>
        </w:tc>
        <w:tc>
          <w:tcPr>
            <w:tcW w:w="902" w:type="dxa"/>
            <w:vMerge w:val="continue"/>
          </w:tcPr>
          <w:p w14:paraId="342550EC">
            <w:pPr>
              <w:pStyle w:val="3"/>
              <w:numPr>
                <w:ilvl w:val="0"/>
                <w:numId w:val="0"/>
              </w:numPr>
              <w:ind w:right="291" w:rightChars="0"/>
              <w:rPr>
                <w:rFonts w:hint="eastAsia"/>
                <w:highlight w:val="none"/>
                <w:vertAlign w:val="baseline"/>
                <w:lang w:val="en-US" w:eastAsia="zh-CN"/>
              </w:rPr>
            </w:pPr>
          </w:p>
        </w:tc>
        <w:tc>
          <w:tcPr>
            <w:tcW w:w="1040" w:type="dxa"/>
            <w:vMerge w:val="continue"/>
          </w:tcPr>
          <w:p w14:paraId="5D5DF166">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40AEC0C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实时反馈与修订</w:t>
            </w:r>
          </w:p>
        </w:tc>
        <w:tc>
          <w:tcPr>
            <w:tcW w:w="4003" w:type="dxa"/>
            <w:shd w:val="clear" w:color="auto" w:fill="auto"/>
            <w:vAlign w:val="center"/>
          </w:tcPr>
          <w:p w14:paraId="0CA7C15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在线响应评审意见（支持附件上传修订说明）。</w:t>
            </w:r>
          </w:p>
          <w:p w14:paraId="7D213AA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right="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修订追踪：自动对比新旧版本，标红修改内容。</w:t>
            </w:r>
          </w:p>
          <w:p w14:paraId="6490C0C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专家在线审核修订。</w:t>
            </w:r>
          </w:p>
        </w:tc>
      </w:tr>
      <w:tr w14:paraId="13A2D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40C0421B">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80</w:t>
            </w:r>
          </w:p>
        </w:tc>
        <w:tc>
          <w:tcPr>
            <w:tcW w:w="414" w:type="dxa"/>
            <w:vMerge w:val="continue"/>
          </w:tcPr>
          <w:p w14:paraId="5503836C">
            <w:pPr>
              <w:pStyle w:val="3"/>
              <w:numPr>
                <w:ilvl w:val="0"/>
                <w:numId w:val="0"/>
              </w:numPr>
              <w:ind w:right="291" w:rightChars="0"/>
              <w:rPr>
                <w:rFonts w:hint="eastAsia"/>
                <w:highlight w:val="none"/>
                <w:vertAlign w:val="baseline"/>
                <w:lang w:val="en-US" w:eastAsia="zh-CN"/>
              </w:rPr>
            </w:pPr>
          </w:p>
        </w:tc>
        <w:tc>
          <w:tcPr>
            <w:tcW w:w="902" w:type="dxa"/>
            <w:vMerge w:val="continue"/>
          </w:tcPr>
          <w:p w14:paraId="0938A49A">
            <w:pPr>
              <w:pStyle w:val="3"/>
              <w:numPr>
                <w:ilvl w:val="0"/>
                <w:numId w:val="0"/>
              </w:numPr>
              <w:ind w:right="291" w:rightChars="0"/>
              <w:rPr>
                <w:rFonts w:hint="eastAsia"/>
                <w:highlight w:val="none"/>
                <w:vertAlign w:val="baseline"/>
                <w:lang w:val="en-US" w:eastAsia="zh-CN"/>
              </w:rPr>
            </w:pPr>
          </w:p>
        </w:tc>
        <w:tc>
          <w:tcPr>
            <w:tcW w:w="1040" w:type="dxa"/>
            <w:vMerge w:val="continue"/>
          </w:tcPr>
          <w:p w14:paraId="5C35DFD4">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45F29E4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决定传达</w:t>
            </w:r>
          </w:p>
        </w:tc>
        <w:tc>
          <w:tcPr>
            <w:tcW w:w="4003" w:type="dxa"/>
            <w:shd w:val="clear" w:color="auto" w:fill="auto"/>
            <w:vAlign w:val="center"/>
          </w:tcPr>
          <w:p w14:paraId="2CB532A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支持科学性审秘书在线编辑审查决定</w:t>
            </w:r>
            <w:r>
              <w:rPr>
                <w:rFonts w:hint="eastAsia" w:ascii="Times New Roman" w:hAnsi="Times New Roman" w:eastAsia="宋体" w:cs="Times New Roman"/>
                <w:b w:val="0"/>
                <w:bCs w:val="0"/>
                <w:i w:val="0"/>
                <w:iCs w:val="0"/>
                <w:color w:val="000000"/>
                <w:kern w:val="0"/>
                <w:sz w:val="24"/>
                <w:szCs w:val="24"/>
                <w:highlight w:val="none"/>
                <w:u w:val="none"/>
                <w:lang w:val="en-US" w:eastAsia="zh" w:bidi="ar"/>
              </w:rPr>
              <w:t>，</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一键在线传达审查决定。</w:t>
            </w:r>
          </w:p>
        </w:tc>
      </w:tr>
      <w:tr w14:paraId="227D8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97BC844">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81</w:t>
            </w:r>
          </w:p>
        </w:tc>
        <w:tc>
          <w:tcPr>
            <w:tcW w:w="414" w:type="dxa"/>
            <w:vMerge w:val="continue"/>
          </w:tcPr>
          <w:p w14:paraId="63AB143E">
            <w:pPr>
              <w:pStyle w:val="3"/>
              <w:numPr>
                <w:ilvl w:val="0"/>
                <w:numId w:val="0"/>
              </w:numPr>
              <w:ind w:right="291" w:rightChars="0"/>
              <w:rPr>
                <w:rFonts w:hint="eastAsia"/>
                <w:highlight w:val="none"/>
                <w:vertAlign w:val="baseline"/>
                <w:lang w:val="en-US" w:eastAsia="zh-CN"/>
              </w:rPr>
            </w:pPr>
          </w:p>
        </w:tc>
        <w:tc>
          <w:tcPr>
            <w:tcW w:w="902" w:type="dxa"/>
            <w:vMerge w:val="continue"/>
          </w:tcPr>
          <w:p w14:paraId="4B2FC8EF">
            <w:pPr>
              <w:pStyle w:val="3"/>
              <w:numPr>
                <w:ilvl w:val="0"/>
                <w:numId w:val="0"/>
              </w:numPr>
              <w:ind w:right="291" w:rightChars="0"/>
              <w:rPr>
                <w:rFonts w:hint="eastAsia"/>
                <w:highlight w:val="none"/>
                <w:vertAlign w:val="baseline"/>
                <w:lang w:val="en-US" w:eastAsia="zh-CN"/>
              </w:rPr>
            </w:pPr>
          </w:p>
        </w:tc>
        <w:tc>
          <w:tcPr>
            <w:tcW w:w="1040" w:type="dxa"/>
            <w:vMerge w:val="continue"/>
          </w:tcPr>
          <w:p w14:paraId="3FCC8F43">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13DDC6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资料归档</w:t>
            </w:r>
          </w:p>
        </w:tc>
        <w:tc>
          <w:tcPr>
            <w:tcW w:w="4003" w:type="dxa"/>
            <w:shd w:val="clear" w:color="auto" w:fill="auto"/>
            <w:vAlign w:val="center"/>
          </w:tcPr>
          <w:p w14:paraId="7A3A8C2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审查结束后自动汇集次审查有关的所有电子文档和送审文档一键归档。</w:t>
            </w:r>
          </w:p>
        </w:tc>
      </w:tr>
      <w:tr w14:paraId="6D8C5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EA72AED">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82</w:t>
            </w:r>
          </w:p>
        </w:tc>
        <w:tc>
          <w:tcPr>
            <w:tcW w:w="414" w:type="dxa"/>
            <w:vMerge w:val="continue"/>
          </w:tcPr>
          <w:p w14:paraId="09D1565B">
            <w:pPr>
              <w:pStyle w:val="3"/>
              <w:numPr>
                <w:ilvl w:val="0"/>
                <w:numId w:val="0"/>
              </w:numPr>
              <w:ind w:right="291" w:rightChars="0"/>
              <w:rPr>
                <w:rFonts w:hint="eastAsia"/>
                <w:highlight w:val="none"/>
                <w:vertAlign w:val="baseline"/>
                <w:lang w:val="en-US" w:eastAsia="zh-CN"/>
              </w:rPr>
            </w:pPr>
          </w:p>
        </w:tc>
        <w:tc>
          <w:tcPr>
            <w:tcW w:w="902" w:type="dxa"/>
            <w:vMerge w:val="continue"/>
          </w:tcPr>
          <w:p w14:paraId="4BA24044">
            <w:pPr>
              <w:pStyle w:val="3"/>
              <w:numPr>
                <w:ilvl w:val="0"/>
                <w:numId w:val="0"/>
              </w:numPr>
              <w:ind w:right="291" w:rightChars="0"/>
              <w:rPr>
                <w:rFonts w:hint="eastAsia"/>
                <w:highlight w:val="none"/>
                <w:vertAlign w:val="baseline"/>
                <w:lang w:val="en-US" w:eastAsia="zh-CN"/>
              </w:rPr>
            </w:pPr>
          </w:p>
        </w:tc>
        <w:tc>
          <w:tcPr>
            <w:tcW w:w="1040" w:type="dxa"/>
            <w:shd w:val="clear" w:color="auto" w:fill="auto"/>
            <w:vAlign w:val="center"/>
          </w:tcPr>
          <w:p w14:paraId="2500FD1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科学性审查会议管理</w:t>
            </w:r>
          </w:p>
        </w:tc>
        <w:tc>
          <w:tcPr>
            <w:tcW w:w="1721" w:type="dxa"/>
            <w:shd w:val="clear" w:color="auto" w:fill="auto"/>
            <w:vAlign w:val="center"/>
          </w:tcPr>
          <w:p w14:paraId="45D946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科学性审查会议管理</w:t>
            </w:r>
          </w:p>
        </w:tc>
        <w:tc>
          <w:tcPr>
            <w:tcW w:w="4003" w:type="dxa"/>
            <w:shd w:val="clear" w:color="auto" w:fill="auto"/>
            <w:vAlign w:val="center"/>
          </w:tcPr>
          <w:p w14:paraId="5D59C0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支持科学性审查秘书创建科学性审查会议，会议发布后通知参会专家并统计参会回执；支持专家扫描二维码进行会议伦理签到；支持秘书管理会议的审查项目，并对上会项目排序；支持会议期间委员通过电脑、手机或平板电脑登录系统查阅上回项目资料和在线填写评审表、投票单等功能；支持上传多种类型会议文件，如会议日程、会议记录、审查表、投票单、签到表等。</w:t>
            </w:r>
          </w:p>
        </w:tc>
      </w:tr>
      <w:tr w14:paraId="5601C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2F67EFF">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83</w:t>
            </w:r>
          </w:p>
        </w:tc>
        <w:tc>
          <w:tcPr>
            <w:tcW w:w="414" w:type="dxa"/>
            <w:vMerge w:val="continue"/>
          </w:tcPr>
          <w:p w14:paraId="6C84AC05">
            <w:pPr>
              <w:pStyle w:val="3"/>
              <w:numPr>
                <w:ilvl w:val="0"/>
                <w:numId w:val="0"/>
              </w:numPr>
              <w:ind w:right="291" w:rightChars="0"/>
              <w:rPr>
                <w:rFonts w:hint="eastAsia"/>
                <w:highlight w:val="none"/>
                <w:vertAlign w:val="baseline"/>
                <w:lang w:val="en-US" w:eastAsia="zh-CN"/>
              </w:rPr>
            </w:pPr>
          </w:p>
        </w:tc>
        <w:tc>
          <w:tcPr>
            <w:tcW w:w="902" w:type="dxa"/>
            <w:vMerge w:val="continue"/>
          </w:tcPr>
          <w:p w14:paraId="032B919B">
            <w:pPr>
              <w:pStyle w:val="3"/>
              <w:numPr>
                <w:ilvl w:val="0"/>
                <w:numId w:val="0"/>
              </w:numPr>
              <w:ind w:right="291" w:rightChars="0"/>
              <w:rPr>
                <w:rFonts w:hint="eastAsia"/>
                <w:highlight w:val="none"/>
                <w:vertAlign w:val="baseline"/>
                <w:lang w:val="en-US" w:eastAsia="zh-CN"/>
              </w:rPr>
            </w:pPr>
          </w:p>
        </w:tc>
        <w:tc>
          <w:tcPr>
            <w:tcW w:w="1040" w:type="dxa"/>
            <w:shd w:val="clear" w:color="auto" w:fill="auto"/>
            <w:vAlign w:val="center"/>
          </w:tcPr>
          <w:p w14:paraId="59E3016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专家在线审查</w:t>
            </w:r>
          </w:p>
        </w:tc>
        <w:tc>
          <w:tcPr>
            <w:tcW w:w="1721" w:type="dxa"/>
            <w:shd w:val="clear" w:color="auto" w:fill="auto"/>
            <w:vAlign w:val="center"/>
          </w:tcPr>
          <w:p w14:paraId="635BC6D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在线主审</w:t>
            </w:r>
          </w:p>
        </w:tc>
        <w:tc>
          <w:tcPr>
            <w:tcW w:w="4003" w:type="dxa"/>
            <w:shd w:val="clear" w:color="auto" w:fill="auto"/>
            <w:vAlign w:val="center"/>
          </w:tcPr>
          <w:p w14:paraId="11CB5F9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专家在线接收任务，在线查看审查资料和填写评审工作表</w:t>
            </w:r>
          </w:p>
        </w:tc>
      </w:tr>
      <w:tr w14:paraId="0B2BB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442086B">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84</w:t>
            </w:r>
          </w:p>
        </w:tc>
        <w:tc>
          <w:tcPr>
            <w:tcW w:w="414" w:type="dxa"/>
            <w:vMerge w:val="continue"/>
          </w:tcPr>
          <w:p w14:paraId="7CAEBD8D">
            <w:pPr>
              <w:pStyle w:val="3"/>
              <w:numPr>
                <w:ilvl w:val="0"/>
                <w:numId w:val="0"/>
              </w:numPr>
              <w:ind w:right="291" w:rightChars="0"/>
              <w:rPr>
                <w:rFonts w:hint="eastAsia"/>
                <w:highlight w:val="none"/>
                <w:vertAlign w:val="baseline"/>
                <w:lang w:val="en-US" w:eastAsia="zh-CN"/>
              </w:rPr>
            </w:pPr>
          </w:p>
        </w:tc>
        <w:tc>
          <w:tcPr>
            <w:tcW w:w="902" w:type="dxa"/>
            <w:vMerge w:val="continue"/>
          </w:tcPr>
          <w:p w14:paraId="599D6F7A">
            <w:pPr>
              <w:pStyle w:val="3"/>
              <w:numPr>
                <w:ilvl w:val="0"/>
                <w:numId w:val="0"/>
              </w:numPr>
              <w:ind w:right="291" w:rightChars="0"/>
              <w:rPr>
                <w:rFonts w:hint="eastAsia"/>
                <w:highlight w:val="none"/>
                <w:vertAlign w:val="baseline"/>
                <w:lang w:val="en-US" w:eastAsia="zh-CN"/>
              </w:rPr>
            </w:pPr>
          </w:p>
        </w:tc>
        <w:tc>
          <w:tcPr>
            <w:tcW w:w="1040" w:type="dxa"/>
            <w:shd w:val="clear" w:color="auto" w:fill="auto"/>
            <w:vAlign w:val="center"/>
          </w:tcPr>
          <w:p w14:paraId="1D581B2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p>
        </w:tc>
        <w:tc>
          <w:tcPr>
            <w:tcW w:w="1721" w:type="dxa"/>
            <w:shd w:val="clear" w:color="auto" w:fill="auto"/>
            <w:vAlign w:val="center"/>
          </w:tcPr>
          <w:p w14:paraId="13378EB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会议审查</w:t>
            </w:r>
          </w:p>
        </w:tc>
        <w:tc>
          <w:tcPr>
            <w:tcW w:w="4003" w:type="dxa"/>
            <w:shd w:val="clear" w:color="auto" w:fill="auto"/>
            <w:vAlign w:val="center"/>
          </w:tcPr>
          <w:p w14:paraId="3096354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专家会前和会中查看项目资料，会议开始后电子签到、在线填写评审工作表、投票单等。</w:t>
            </w:r>
          </w:p>
        </w:tc>
      </w:tr>
      <w:tr w14:paraId="00C0A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61FACCC7">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85</w:t>
            </w:r>
          </w:p>
        </w:tc>
        <w:tc>
          <w:tcPr>
            <w:tcW w:w="414" w:type="dxa"/>
            <w:vMerge w:val="continue"/>
          </w:tcPr>
          <w:p w14:paraId="42F062A9">
            <w:pPr>
              <w:pStyle w:val="3"/>
              <w:numPr>
                <w:ilvl w:val="0"/>
                <w:numId w:val="0"/>
              </w:numPr>
              <w:ind w:right="291" w:rightChars="0"/>
              <w:rPr>
                <w:rFonts w:hint="eastAsia"/>
                <w:highlight w:val="none"/>
                <w:vertAlign w:val="baseline"/>
                <w:lang w:val="en-US" w:eastAsia="zh-CN"/>
              </w:rPr>
            </w:pPr>
          </w:p>
        </w:tc>
        <w:tc>
          <w:tcPr>
            <w:tcW w:w="902" w:type="dxa"/>
            <w:vMerge w:val="continue"/>
          </w:tcPr>
          <w:p w14:paraId="1AE5DFB0">
            <w:pPr>
              <w:pStyle w:val="3"/>
              <w:numPr>
                <w:ilvl w:val="0"/>
                <w:numId w:val="0"/>
              </w:numPr>
              <w:ind w:right="291" w:rightChars="0"/>
              <w:rPr>
                <w:rFonts w:hint="eastAsia"/>
                <w:highlight w:val="none"/>
                <w:vertAlign w:val="baseline"/>
                <w:lang w:val="en-US" w:eastAsia="zh-CN"/>
              </w:rPr>
            </w:pPr>
          </w:p>
        </w:tc>
        <w:tc>
          <w:tcPr>
            <w:tcW w:w="1040" w:type="dxa"/>
            <w:shd w:val="clear" w:color="auto" w:fill="auto"/>
            <w:vAlign w:val="center"/>
          </w:tcPr>
          <w:p w14:paraId="22A712E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审查查询</w:t>
            </w:r>
          </w:p>
        </w:tc>
        <w:tc>
          <w:tcPr>
            <w:tcW w:w="1721" w:type="dxa"/>
            <w:shd w:val="clear" w:color="auto" w:fill="auto"/>
            <w:vAlign w:val="center"/>
          </w:tcPr>
          <w:p w14:paraId="04E068F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审查查询与统计</w:t>
            </w:r>
          </w:p>
        </w:tc>
        <w:tc>
          <w:tcPr>
            <w:tcW w:w="4003" w:type="dxa"/>
            <w:shd w:val="clear" w:color="auto" w:fill="auto"/>
            <w:vAlign w:val="center"/>
          </w:tcPr>
          <w:p w14:paraId="18A525F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支持按照不同查询条件进行查询项目进展，包括审查项目、审查会议、审查类别、审查方式查询等。</w:t>
            </w:r>
          </w:p>
        </w:tc>
      </w:tr>
      <w:tr w14:paraId="3D295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00555657">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86</w:t>
            </w:r>
          </w:p>
        </w:tc>
        <w:tc>
          <w:tcPr>
            <w:tcW w:w="414" w:type="dxa"/>
            <w:vMerge w:val="continue"/>
          </w:tcPr>
          <w:p w14:paraId="1E6D79DD">
            <w:pPr>
              <w:pStyle w:val="3"/>
              <w:numPr>
                <w:ilvl w:val="0"/>
                <w:numId w:val="0"/>
              </w:numPr>
              <w:ind w:right="291" w:rightChars="0"/>
              <w:rPr>
                <w:rFonts w:hint="eastAsia"/>
                <w:highlight w:val="none"/>
                <w:vertAlign w:val="baseline"/>
                <w:lang w:val="en-US" w:eastAsia="zh-CN"/>
              </w:rPr>
            </w:pPr>
          </w:p>
        </w:tc>
        <w:tc>
          <w:tcPr>
            <w:tcW w:w="902" w:type="dxa"/>
            <w:vMerge w:val="continue"/>
          </w:tcPr>
          <w:p w14:paraId="3BDB853D">
            <w:pPr>
              <w:pStyle w:val="3"/>
              <w:numPr>
                <w:ilvl w:val="0"/>
                <w:numId w:val="0"/>
              </w:numPr>
              <w:ind w:right="291" w:rightChars="0"/>
              <w:rPr>
                <w:rFonts w:hint="eastAsia"/>
                <w:highlight w:val="none"/>
                <w:vertAlign w:val="baseline"/>
                <w:lang w:val="en-US" w:eastAsia="zh-CN"/>
              </w:rPr>
            </w:pPr>
          </w:p>
        </w:tc>
        <w:tc>
          <w:tcPr>
            <w:tcW w:w="1040" w:type="dxa"/>
            <w:vMerge w:val="restart"/>
            <w:shd w:val="clear" w:color="auto" w:fill="auto"/>
            <w:vAlign w:val="center"/>
          </w:tcPr>
          <w:p w14:paraId="399982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科学性审查办公室管理</w:t>
            </w:r>
          </w:p>
        </w:tc>
        <w:tc>
          <w:tcPr>
            <w:tcW w:w="1721" w:type="dxa"/>
            <w:shd w:val="clear" w:color="auto" w:fill="auto"/>
            <w:vAlign w:val="center"/>
          </w:tcPr>
          <w:p w14:paraId="15239C9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科学性审查SOP管理</w:t>
            </w:r>
          </w:p>
        </w:tc>
        <w:tc>
          <w:tcPr>
            <w:tcW w:w="4003" w:type="dxa"/>
            <w:shd w:val="clear" w:color="auto" w:fill="auto"/>
            <w:vAlign w:val="center"/>
          </w:tcPr>
          <w:p w14:paraId="3E3F523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支持科学性审查SOP管理、法规与指南发布、公告发布。</w:t>
            </w:r>
          </w:p>
        </w:tc>
      </w:tr>
      <w:tr w14:paraId="389B0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26556C74">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87</w:t>
            </w:r>
          </w:p>
        </w:tc>
        <w:tc>
          <w:tcPr>
            <w:tcW w:w="414" w:type="dxa"/>
            <w:vMerge w:val="continue"/>
          </w:tcPr>
          <w:p w14:paraId="25941980">
            <w:pPr>
              <w:pStyle w:val="3"/>
              <w:numPr>
                <w:ilvl w:val="0"/>
                <w:numId w:val="0"/>
              </w:numPr>
              <w:ind w:right="291" w:rightChars="0"/>
              <w:rPr>
                <w:rFonts w:hint="eastAsia"/>
                <w:highlight w:val="none"/>
                <w:vertAlign w:val="baseline"/>
                <w:lang w:val="en-US" w:eastAsia="zh-CN"/>
              </w:rPr>
            </w:pPr>
          </w:p>
        </w:tc>
        <w:tc>
          <w:tcPr>
            <w:tcW w:w="902" w:type="dxa"/>
            <w:vMerge w:val="continue"/>
          </w:tcPr>
          <w:p w14:paraId="19169046">
            <w:pPr>
              <w:pStyle w:val="3"/>
              <w:numPr>
                <w:ilvl w:val="0"/>
                <w:numId w:val="0"/>
              </w:numPr>
              <w:ind w:right="291" w:rightChars="0"/>
              <w:rPr>
                <w:rFonts w:hint="eastAsia"/>
                <w:highlight w:val="none"/>
                <w:vertAlign w:val="baseline"/>
                <w:lang w:val="en-US" w:eastAsia="zh-CN"/>
              </w:rPr>
            </w:pPr>
          </w:p>
        </w:tc>
        <w:tc>
          <w:tcPr>
            <w:tcW w:w="1040" w:type="dxa"/>
            <w:vMerge w:val="continue"/>
          </w:tcPr>
          <w:p w14:paraId="47DDF92E">
            <w:pPr>
              <w:pStyle w:val="3"/>
              <w:numPr>
                <w:ilvl w:val="0"/>
                <w:numId w:val="0"/>
              </w:numPr>
              <w:ind w:right="291" w:rightChars="0"/>
              <w:rPr>
                <w:rFonts w:hint="eastAsia"/>
                <w:highlight w:val="none"/>
                <w:vertAlign w:val="baseline"/>
                <w:lang w:val="en-US" w:eastAsia="zh-CN"/>
              </w:rPr>
            </w:pPr>
          </w:p>
        </w:tc>
        <w:tc>
          <w:tcPr>
            <w:tcW w:w="1721" w:type="dxa"/>
            <w:shd w:val="clear" w:color="auto" w:fill="auto"/>
            <w:vAlign w:val="center"/>
          </w:tcPr>
          <w:p w14:paraId="3A60695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专家库管理</w:t>
            </w:r>
          </w:p>
        </w:tc>
        <w:tc>
          <w:tcPr>
            <w:tcW w:w="4003" w:type="dxa"/>
            <w:shd w:val="clear" w:color="auto" w:fill="auto"/>
            <w:vAlign w:val="center"/>
          </w:tcPr>
          <w:p w14:paraId="7B773F3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 w:bidi="ar"/>
              </w:rPr>
              <w:t>支持专家库信息维护</w:t>
            </w:r>
          </w:p>
        </w:tc>
      </w:tr>
      <w:tr w14:paraId="5591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790AC098">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88</w:t>
            </w:r>
          </w:p>
        </w:tc>
        <w:tc>
          <w:tcPr>
            <w:tcW w:w="414" w:type="dxa"/>
            <w:vMerge w:val="continue"/>
          </w:tcPr>
          <w:p w14:paraId="1CA57095">
            <w:pPr>
              <w:pStyle w:val="3"/>
              <w:numPr>
                <w:ilvl w:val="0"/>
                <w:numId w:val="0"/>
              </w:numPr>
              <w:ind w:right="291" w:rightChars="0"/>
              <w:rPr>
                <w:rFonts w:hint="eastAsia"/>
                <w:highlight w:val="none"/>
                <w:vertAlign w:val="baseline"/>
                <w:lang w:val="en-US" w:eastAsia="zh-CN"/>
              </w:rPr>
            </w:pPr>
          </w:p>
        </w:tc>
        <w:tc>
          <w:tcPr>
            <w:tcW w:w="902" w:type="dxa"/>
            <w:vMerge w:val="restart"/>
          </w:tcPr>
          <w:p w14:paraId="50176C75">
            <w:pPr>
              <w:pStyle w:val="3"/>
              <w:numPr>
                <w:ilvl w:val="0"/>
                <w:numId w:val="0"/>
              </w:numPr>
              <w:ind w:right="291" w:rightChars="0"/>
              <w:rPr>
                <w:rFonts w:hint="eastAsia"/>
                <w:highlight w:val="none"/>
                <w:vertAlign w:val="baseline"/>
                <w:lang w:val="en-US" w:eastAsia="zh-CN"/>
              </w:rPr>
            </w:pPr>
            <w:r>
              <w:rPr>
                <w:rFonts w:hint="eastAsia" w:asciiTheme="minorEastAsia" w:hAnsiTheme="minorEastAsia" w:cstheme="minorEastAsia"/>
                <w:sz w:val="24"/>
                <w:szCs w:val="32"/>
                <w:highlight w:val="none"/>
                <w:lang w:val="en-US" w:eastAsia="zh-CN"/>
              </w:rPr>
              <w:t>接口与临床改造</w:t>
            </w:r>
          </w:p>
        </w:tc>
        <w:tc>
          <w:tcPr>
            <w:tcW w:w="1040" w:type="dxa"/>
            <w:shd w:val="clear" w:color="auto" w:fill="auto"/>
            <w:vAlign w:val="center"/>
          </w:tcPr>
          <w:p w14:paraId="085EF55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一号通及单点登录</w:t>
            </w:r>
          </w:p>
        </w:tc>
        <w:tc>
          <w:tcPr>
            <w:tcW w:w="1721" w:type="dxa"/>
            <w:shd w:val="clear" w:color="auto" w:fill="auto"/>
            <w:vAlign w:val="center"/>
          </w:tcPr>
          <w:p w14:paraId="5C29B6D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一号通及单点登录</w:t>
            </w:r>
          </w:p>
        </w:tc>
        <w:tc>
          <w:tcPr>
            <w:tcW w:w="4003" w:type="dxa"/>
            <w:shd w:val="clear" w:color="auto" w:fill="auto"/>
            <w:vAlign w:val="center"/>
          </w:tcPr>
          <w:p w14:paraId="576FBED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360" w:lineRule="auto"/>
              <w:ind w:left="0" w:right="0" w:firstLine="0"/>
              <w:rPr>
                <w:rFonts w:ascii="Times New Roman" w:hAnsi="Times New Roman" w:eastAsia="宋体" w:cs="Times New Roman"/>
                <w:b w:val="0"/>
                <w:bCs w:val="0"/>
                <w:sz w:val="24"/>
                <w:szCs w:val="24"/>
                <w:highlight w:val="none"/>
              </w:rPr>
            </w:pPr>
            <w:r>
              <w:rPr>
                <w:rFonts w:ascii="Times New Roman" w:hAnsi="Times New Roman" w:eastAsia="宋体" w:cs="Times New Roman"/>
                <w:b w:val="0"/>
                <w:bCs w:val="0"/>
                <w:sz w:val="24"/>
                <w:szCs w:val="24"/>
                <w:highlight w:val="none"/>
              </w:rPr>
              <w:t>与我院一号通服务对接，实现用户账号密码一致性。</w:t>
            </w:r>
          </w:p>
          <w:p w14:paraId="7014372C">
            <w:pPr>
              <w:pageBreakBefore w:val="0"/>
              <w:kinsoku/>
              <w:wordWrap/>
              <w:overflowPunct/>
              <w:topLinePunct w:val="0"/>
              <w:autoSpaceDE/>
              <w:autoSpaceDN/>
              <w:bidi w:val="0"/>
              <w:spacing w:line="360" w:lineRule="auto"/>
              <w:ind w:left="0" w:leftChars="0" w:firstLine="0" w:firstLineChars="0"/>
              <w:rPr>
                <w:rFonts w:hint="eastAsia" w:ascii="Times New Roman" w:hAnsi="Times New Roman" w:eastAsia="宋体" w:cs="Times New Roman"/>
                <w:b w:val="0"/>
                <w:bCs w:val="0"/>
                <w:kern w:val="2"/>
                <w:sz w:val="24"/>
                <w:szCs w:val="24"/>
                <w:highlight w:val="none"/>
                <w:lang w:val="en-US" w:eastAsia="zh-CN" w:bidi="ar-SA"/>
              </w:rPr>
            </w:pPr>
            <w:r>
              <w:rPr>
                <w:rFonts w:ascii="Times New Roman" w:hAnsi="Times New Roman" w:eastAsia="宋体" w:cs="Times New Roman"/>
                <w:b w:val="0"/>
                <w:bCs w:val="0"/>
                <w:sz w:val="24"/>
                <w:szCs w:val="24"/>
                <w:highlight w:val="none"/>
              </w:rPr>
              <w:t>对接我院系统集成平台</w:t>
            </w:r>
            <w:r>
              <w:rPr>
                <w:rFonts w:hint="eastAsia" w:ascii="Times New Roman" w:hAnsi="Times New Roman" w:eastAsia="宋体" w:cs="Times New Roman"/>
                <w:b w:val="0"/>
                <w:bCs w:val="0"/>
                <w:sz w:val="24"/>
                <w:szCs w:val="24"/>
                <w:highlight w:val="none"/>
                <w:lang w:eastAsia="zh-CN"/>
              </w:rPr>
              <w:t>，</w:t>
            </w:r>
            <w:r>
              <w:rPr>
                <w:rFonts w:ascii="Times New Roman" w:hAnsi="Times New Roman" w:eastAsia="宋体" w:cs="Times New Roman"/>
                <w:b w:val="0"/>
                <w:bCs w:val="0"/>
                <w:sz w:val="24"/>
                <w:szCs w:val="24"/>
                <w:highlight w:val="none"/>
              </w:rPr>
              <w:t>支持单点登录</w:t>
            </w:r>
            <w:r>
              <w:rPr>
                <w:rFonts w:hint="eastAsia" w:ascii="Times New Roman" w:hAnsi="Times New Roman" w:eastAsia="宋体" w:cs="Times New Roman"/>
                <w:b w:val="0"/>
                <w:bCs w:val="0"/>
                <w:sz w:val="24"/>
                <w:szCs w:val="24"/>
                <w:highlight w:val="none"/>
                <w:lang w:eastAsia="zh-CN"/>
              </w:rPr>
              <w:t>。</w:t>
            </w:r>
          </w:p>
        </w:tc>
      </w:tr>
      <w:tr w14:paraId="58F90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15D77C13">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89</w:t>
            </w:r>
          </w:p>
        </w:tc>
        <w:tc>
          <w:tcPr>
            <w:tcW w:w="414" w:type="dxa"/>
            <w:vMerge w:val="continue"/>
          </w:tcPr>
          <w:p w14:paraId="36FDDADF">
            <w:pPr>
              <w:pStyle w:val="3"/>
              <w:numPr>
                <w:ilvl w:val="0"/>
                <w:numId w:val="0"/>
              </w:numPr>
              <w:ind w:right="291" w:rightChars="0"/>
              <w:rPr>
                <w:rFonts w:hint="eastAsia"/>
                <w:highlight w:val="none"/>
                <w:vertAlign w:val="baseline"/>
                <w:lang w:val="en-US" w:eastAsia="zh-CN"/>
              </w:rPr>
            </w:pPr>
          </w:p>
        </w:tc>
        <w:tc>
          <w:tcPr>
            <w:tcW w:w="902" w:type="dxa"/>
            <w:vMerge w:val="continue"/>
          </w:tcPr>
          <w:p w14:paraId="628007D5">
            <w:pPr>
              <w:pStyle w:val="3"/>
              <w:numPr>
                <w:ilvl w:val="0"/>
                <w:numId w:val="0"/>
              </w:numPr>
              <w:ind w:right="291" w:rightChars="0"/>
              <w:rPr>
                <w:rFonts w:hint="eastAsia"/>
                <w:highlight w:val="none"/>
                <w:vertAlign w:val="baseline"/>
                <w:lang w:val="en-US" w:eastAsia="zh-CN"/>
              </w:rPr>
            </w:pPr>
          </w:p>
        </w:tc>
        <w:tc>
          <w:tcPr>
            <w:tcW w:w="1040" w:type="dxa"/>
            <w:shd w:val="clear" w:color="auto" w:fill="auto"/>
            <w:vAlign w:val="center"/>
          </w:tcPr>
          <w:p w14:paraId="3F2815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电子签名（电子签章）</w:t>
            </w:r>
          </w:p>
        </w:tc>
        <w:tc>
          <w:tcPr>
            <w:tcW w:w="1721" w:type="dxa"/>
            <w:shd w:val="clear" w:color="auto" w:fill="auto"/>
            <w:vAlign w:val="center"/>
          </w:tcPr>
          <w:p w14:paraId="2BFDCCD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电子签名（电子签章）</w:t>
            </w:r>
          </w:p>
        </w:tc>
        <w:tc>
          <w:tcPr>
            <w:tcW w:w="4003" w:type="dxa"/>
            <w:shd w:val="clear" w:color="auto" w:fill="auto"/>
            <w:vAlign w:val="center"/>
          </w:tcPr>
          <w:p w14:paraId="1243148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Autospacing="0" w:line="360" w:lineRule="auto"/>
              <w:ind w:left="0" w:right="0" w:firstLine="0"/>
              <w:rPr>
                <w:rFonts w:ascii="Times New Roman" w:hAnsi="Times New Roman" w:eastAsia="宋体" w:cs="Times New Roman"/>
                <w:b w:val="0"/>
                <w:bCs w:val="0"/>
                <w:sz w:val="24"/>
                <w:szCs w:val="24"/>
                <w:highlight w:val="none"/>
              </w:rPr>
            </w:pPr>
            <w:r>
              <w:rPr>
                <w:rFonts w:ascii="Times New Roman" w:hAnsi="Times New Roman" w:eastAsia="宋体" w:cs="Times New Roman"/>
                <w:b w:val="0"/>
                <w:bCs w:val="0"/>
                <w:sz w:val="24"/>
                <w:szCs w:val="24"/>
                <w:highlight w:val="none"/>
              </w:rPr>
              <w:t>支持图片式电子签名。</w:t>
            </w:r>
          </w:p>
          <w:p w14:paraId="574CA224">
            <w:pPr>
              <w:pageBreakBefore w:val="0"/>
              <w:kinsoku/>
              <w:wordWrap/>
              <w:overflowPunct/>
              <w:topLinePunct w:val="0"/>
              <w:autoSpaceDE/>
              <w:autoSpaceDN/>
              <w:bidi w:val="0"/>
              <w:spacing w:line="360" w:lineRule="auto"/>
              <w:ind w:left="0" w:leftChars="0" w:firstLine="0" w:firstLineChars="0"/>
              <w:rPr>
                <w:rFonts w:hint="eastAsia" w:ascii="Times New Roman" w:hAnsi="Times New Roman" w:eastAsia="宋体" w:cs="Times New Roman"/>
                <w:b w:val="0"/>
                <w:bCs w:val="0"/>
                <w:kern w:val="2"/>
                <w:sz w:val="24"/>
                <w:szCs w:val="24"/>
                <w:highlight w:val="none"/>
                <w:lang w:val="en-US" w:eastAsia="zh-CN" w:bidi="ar-SA"/>
              </w:rPr>
            </w:pPr>
            <w:r>
              <w:rPr>
                <w:rFonts w:ascii="Times New Roman" w:hAnsi="Times New Roman" w:eastAsia="宋体" w:cs="Times New Roman"/>
                <w:b w:val="0"/>
                <w:bCs w:val="0"/>
                <w:sz w:val="24"/>
                <w:szCs w:val="24"/>
                <w:highlight w:val="none"/>
              </w:rPr>
              <w:t>对接</w:t>
            </w:r>
            <w:r>
              <w:rPr>
                <w:rFonts w:hint="default" w:ascii="Times New Roman" w:hAnsi="Times New Roman" w:eastAsia="宋体" w:cs="Times New Roman"/>
                <w:b w:val="0"/>
                <w:bCs w:val="0"/>
                <w:sz w:val="24"/>
                <w:szCs w:val="24"/>
                <w:highlight w:val="none"/>
              </w:rPr>
              <w:t>CA</w:t>
            </w:r>
            <w:r>
              <w:rPr>
                <w:rFonts w:ascii="Times New Roman" w:hAnsi="Times New Roman" w:eastAsia="宋体" w:cs="Times New Roman"/>
                <w:b w:val="0"/>
                <w:bCs w:val="0"/>
                <w:sz w:val="24"/>
                <w:szCs w:val="24"/>
                <w:highlight w:val="none"/>
              </w:rPr>
              <w:t>系统，在报告审核和打印时</w:t>
            </w:r>
            <w:r>
              <w:rPr>
                <w:rFonts w:hint="eastAsia" w:ascii="Times New Roman" w:hAnsi="Times New Roman" w:eastAsia="宋体" w:cs="Times New Roman"/>
                <w:b w:val="0"/>
                <w:bCs w:val="0"/>
                <w:sz w:val="24"/>
                <w:szCs w:val="24"/>
                <w:highlight w:val="none"/>
                <w:lang w:val="en-US" w:eastAsia="zh-CN"/>
              </w:rPr>
              <w:t>自动签入电子签章。</w:t>
            </w:r>
          </w:p>
        </w:tc>
      </w:tr>
      <w:tr w14:paraId="12C9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20" w:type="dxa"/>
            <w:shd w:val="clear" w:color="auto" w:fill="auto"/>
            <w:vAlign w:val="top"/>
          </w:tcPr>
          <w:p w14:paraId="35AB176E">
            <w:pPr>
              <w:pStyle w:val="3"/>
              <w:numPr>
                <w:ilvl w:val="0"/>
                <w:numId w:val="0"/>
              </w:numPr>
              <w:ind w:left="0" w:leftChars="0" w:right="291" w:rightChars="0" w:firstLine="0" w:firstLineChars="0"/>
              <w:rPr>
                <w:rFonts w:hint="default" w:ascii="宋体" w:hAnsiTheme="minorHAnsi" w:eastAsiaTheme="minorEastAsia" w:cstheme="minorBidi"/>
                <w:kern w:val="0"/>
                <w:sz w:val="21"/>
                <w:szCs w:val="24"/>
                <w:highlight w:val="none"/>
                <w:vertAlign w:val="baseline"/>
                <w:lang w:val="en-US" w:eastAsia="zh-CN" w:bidi="ar-SA"/>
              </w:rPr>
            </w:pPr>
            <w:r>
              <w:rPr>
                <w:rFonts w:hint="eastAsia"/>
                <w:highlight w:val="none"/>
                <w:vertAlign w:val="baseline"/>
                <w:lang w:val="en-US" w:eastAsia="zh-CN"/>
              </w:rPr>
              <w:t>90</w:t>
            </w:r>
          </w:p>
        </w:tc>
        <w:tc>
          <w:tcPr>
            <w:tcW w:w="414" w:type="dxa"/>
            <w:vMerge w:val="continue"/>
          </w:tcPr>
          <w:p w14:paraId="7E57A29A">
            <w:pPr>
              <w:pStyle w:val="3"/>
              <w:numPr>
                <w:ilvl w:val="0"/>
                <w:numId w:val="0"/>
              </w:numPr>
              <w:ind w:right="291" w:rightChars="0"/>
              <w:rPr>
                <w:rFonts w:hint="eastAsia"/>
                <w:highlight w:val="none"/>
                <w:vertAlign w:val="baseline"/>
                <w:lang w:val="en-US" w:eastAsia="zh-CN"/>
              </w:rPr>
            </w:pPr>
          </w:p>
        </w:tc>
        <w:tc>
          <w:tcPr>
            <w:tcW w:w="902" w:type="dxa"/>
            <w:vMerge w:val="continue"/>
          </w:tcPr>
          <w:p w14:paraId="353201C1">
            <w:pPr>
              <w:pStyle w:val="3"/>
              <w:numPr>
                <w:ilvl w:val="0"/>
                <w:numId w:val="0"/>
              </w:numPr>
              <w:ind w:right="291" w:rightChars="0"/>
              <w:rPr>
                <w:rFonts w:hint="eastAsia"/>
                <w:highlight w:val="none"/>
                <w:vertAlign w:val="baseline"/>
                <w:lang w:val="en-US" w:eastAsia="zh-CN"/>
              </w:rPr>
            </w:pPr>
          </w:p>
        </w:tc>
        <w:tc>
          <w:tcPr>
            <w:tcW w:w="1040" w:type="dxa"/>
            <w:shd w:val="clear" w:color="auto" w:fill="auto"/>
            <w:vAlign w:val="center"/>
          </w:tcPr>
          <w:p w14:paraId="1EFCFF7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其他系统对接及改造</w:t>
            </w:r>
          </w:p>
        </w:tc>
        <w:tc>
          <w:tcPr>
            <w:tcW w:w="1721" w:type="dxa"/>
            <w:shd w:val="clear" w:color="auto" w:fill="auto"/>
            <w:vAlign w:val="center"/>
          </w:tcPr>
          <w:p w14:paraId="4555C96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360" w:lineRule="auto"/>
              <w:ind w:left="0" w:leftChars="0" w:right="0" w:rightChars="0" w:firstLine="0" w:firstLineChars="0"/>
              <w:jc w:val="left"/>
              <w:textAlignment w:val="center"/>
              <w:rPr>
                <w:rFonts w:hint="eastAsia" w:ascii="Times New Roman" w:hAnsi="Times New Roman" w:eastAsia="宋体" w:cs="Times New Roman"/>
                <w:b w:val="0"/>
                <w:bCs w:val="0"/>
                <w:i w:val="0"/>
                <w:iCs w:val="0"/>
                <w:color w:val="000000"/>
                <w:kern w:val="0"/>
                <w:sz w:val="24"/>
                <w:szCs w:val="24"/>
                <w:highlight w:val="none"/>
                <w:u w:val="none"/>
                <w:lang w:val="en-US" w:eastAsia="zh-CN" w:bidi="ar"/>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与HIS、LIS、PACS、360视图</w:t>
            </w:r>
            <w:r>
              <w:rPr>
                <w:rFonts w:hint="eastAsia" w:ascii="Times New Roman" w:hAnsi="Times New Roman" w:eastAsia="宋体" w:cs="Times New Roman"/>
                <w:b w:val="0"/>
                <w:bCs w:val="0"/>
                <w:i w:val="0"/>
                <w:iCs w:val="0"/>
                <w:color w:val="000000"/>
                <w:kern w:val="0"/>
                <w:sz w:val="24"/>
                <w:szCs w:val="24"/>
                <w:highlight w:val="none"/>
                <w:u w:val="none"/>
                <w:lang w:val="en-US" w:eastAsia="zh-CN" w:bidi="ar"/>
              </w:rPr>
              <w:t>对接</w:t>
            </w:r>
          </w:p>
        </w:tc>
        <w:tc>
          <w:tcPr>
            <w:tcW w:w="4003" w:type="dxa"/>
            <w:shd w:val="clear" w:color="auto" w:fill="auto"/>
            <w:vAlign w:val="center"/>
          </w:tcPr>
          <w:p w14:paraId="4849A2C7">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eastAsia" w:ascii="Times New Roman" w:hAnsi="Times New Roman" w:eastAsia="宋体" w:cs="Times New Roman"/>
                <w:b w:val="0"/>
                <w:bCs w:val="0"/>
                <w:sz w:val="24"/>
                <w:szCs w:val="24"/>
                <w:highlight w:val="none"/>
                <w:lang w:eastAsia="zh"/>
                <w:woUserID w:val="2"/>
              </w:rPr>
            </w:pPr>
            <w:r>
              <w:rPr>
                <w:rFonts w:hint="eastAsia" w:ascii="Times New Roman" w:hAnsi="Times New Roman" w:eastAsia="宋体" w:cs="Times New Roman"/>
                <w:b w:val="0"/>
                <w:bCs w:val="0"/>
                <w:sz w:val="24"/>
                <w:szCs w:val="24"/>
                <w:highlight w:val="none"/>
              </w:rPr>
              <w:t>与HIS、</w:t>
            </w:r>
            <w:r>
              <w:rPr>
                <w:rFonts w:hint="eastAsia" w:ascii="Times New Roman" w:hAnsi="Times New Roman" w:eastAsia="宋体" w:cs="Times New Roman"/>
                <w:b w:val="0"/>
                <w:bCs w:val="0"/>
                <w:sz w:val="24"/>
                <w:szCs w:val="24"/>
                <w:highlight w:val="none"/>
                <w:lang w:val="en-US" w:eastAsia="zh-CN"/>
              </w:rPr>
              <w:t>LIS、PACS、集成平台、</w:t>
            </w:r>
            <w:r>
              <w:rPr>
                <w:rFonts w:hint="eastAsia" w:ascii="Times New Roman" w:hAnsi="Times New Roman" w:eastAsia="宋体" w:cs="Times New Roman"/>
                <w:b w:val="0"/>
                <w:bCs w:val="0"/>
                <w:sz w:val="24"/>
                <w:szCs w:val="24"/>
                <w:highlight w:val="none"/>
              </w:rPr>
              <w:t>门诊系统、住院系统对接，包括基础字典数据、受试者基本信息、受试者状态</w:t>
            </w:r>
            <w:r>
              <w:rPr>
                <w:rFonts w:hint="eastAsia" w:ascii="Times New Roman" w:hAnsi="Times New Roman" w:eastAsia="宋体" w:cs="Times New Roman"/>
                <w:b w:val="0"/>
                <w:bCs w:val="0"/>
                <w:sz w:val="24"/>
                <w:szCs w:val="24"/>
                <w:highlight w:val="none"/>
                <w:lang w:eastAsia="zh-CN"/>
              </w:rPr>
              <w:t>、</w:t>
            </w:r>
            <w:r>
              <w:rPr>
                <w:rFonts w:hint="eastAsia" w:ascii="Times New Roman" w:hAnsi="Times New Roman" w:eastAsia="宋体" w:cs="Times New Roman"/>
                <w:b w:val="0"/>
                <w:bCs w:val="0"/>
                <w:sz w:val="24"/>
                <w:szCs w:val="24"/>
                <w:highlight w:val="none"/>
                <w:lang w:val="en-US" w:eastAsia="zh-CN"/>
              </w:rPr>
              <w:t>试验源数据</w:t>
            </w:r>
            <w:r>
              <w:rPr>
                <w:rFonts w:hint="eastAsia" w:ascii="Times New Roman" w:hAnsi="Times New Roman" w:eastAsia="宋体" w:cs="Times New Roman"/>
                <w:b w:val="0"/>
                <w:bCs w:val="0"/>
                <w:sz w:val="24"/>
                <w:szCs w:val="24"/>
                <w:highlight w:val="none"/>
              </w:rPr>
              <w:t>等。</w:t>
            </w:r>
            <w:r>
              <w:rPr>
                <w:rFonts w:hint="eastAsia" w:ascii="Times New Roman" w:hAnsi="Times New Roman" w:eastAsia="宋体" w:cs="Times New Roman"/>
                <w:b w:val="0"/>
                <w:bCs w:val="0"/>
                <w:sz w:val="24"/>
                <w:szCs w:val="24"/>
                <w:highlight w:val="none"/>
                <w:lang w:eastAsia="zh"/>
                <w:woUserID w:val="2"/>
              </w:rPr>
              <w:t>支持在我院现有HIS上进行开单，并将医嘱、处方、费用等相关信息回传至本系统。</w:t>
            </w:r>
          </w:p>
          <w:p w14:paraId="1068C2C9">
            <w:pPr>
              <w:keepNext w:val="0"/>
              <w:keepLines w:val="0"/>
              <w:pageBreakBefore w:val="0"/>
              <w:numPr>
                <w:ilvl w:val="0"/>
                <w:numId w:val="0"/>
              </w:numPr>
              <w:suppressLineNumbers w:val="0"/>
              <w:kinsoku/>
              <w:wordWrap/>
              <w:overflowPunct/>
              <w:topLinePunct w:val="0"/>
              <w:autoSpaceDE/>
              <w:autoSpaceDN/>
              <w:bidi w:val="0"/>
              <w:spacing w:before="0" w:beforeAutospacing="0" w:afterAutospacing="0" w:line="360" w:lineRule="auto"/>
              <w:ind w:left="0" w:leftChars="0" w:right="0" w:rightChars="0" w:firstLine="0" w:firstLineChars="0"/>
              <w:jc w:val="left"/>
              <w:rPr>
                <w:rFonts w:hint="default" w:ascii="Times New Roman" w:hAnsi="Times New Roman" w:eastAsia="宋体" w:cs="Times New Roman"/>
                <w:b w:val="0"/>
                <w:bCs w:val="0"/>
                <w:sz w:val="24"/>
                <w:szCs w:val="24"/>
                <w:highlight w:val="none"/>
                <w:lang w:val="en-US" w:eastAsia="zh-CN"/>
                <w:woUserID w:val="2"/>
              </w:rPr>
            </w:pPr>
            <w:r>
              <w:rPr>
                <w:rFonts w:hint="eastAsia" w:ascii="Times New Roman" w:hAnsi="Times New Roman" w:eastAsia="宋体" w:cs="Times New Roman"/>
                <w:b w:val="0"/>
                <w:bCs w:val="0"/>
                <w:sz w:val="24"/>
                <w:szCs w:val="24"/>
                <w:highlight w:val="none"/>
                <w:lang w:val="en-US" w:eastAsia="zh-CN"/>
                <w:woUserID w:val="2"/>
              </w:rPr>
              <w:t>HIS系统对受试者进行标记。区别是否为临床研究受试者。</w:t>
            </w:r>
          </w:p>
        </w:tc>
      </w:tr>
    </w:tbl>
    <w:p w14:paraId="123D8712">
      <w:pPr>
        <w:pStyle w:val="9"/>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4技术要求</w:t>
      </w:r>
    </w:p>
    <w:p w14:paraId="5A1E95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rPr>
        <w:t>1、投标人应具备较好的医疗信息化创新能力、开发能力和实施交付能力，并具备医疗信息化领域的质量管理、信息技术服务管理、信息安全管理等的全流程管理体系。</w:t>
      </w:r>
    </w:p>
    <w:p w14:paraId="3AF8EED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ascii="Times New Roman" w:hAnsi="Times New Roman" w:eastAsia="宋体" w:cs="Times New Roman (正文 CS 字体)"/>
          <w:sz w:val="24"/>
        </w:rPr>
        <w:t>2</w:t>
      </w:r>
      <w:r>
        <w:rPr>
          <w:rFonts w:hint="eastAsia" w:ascii="Times New Roman" w:hAnsi="Times New Roman" w:eastAsia="宋体" w:cs="Times New Roman (正文 CS 字体)"/>
          <w:sz w:val="24"/>
        </w:rPr>
        <w:t>、投标人应充分理解本次项目的建设内容和目标需求，提出符合医院实际应用需求的具有针对性的整体解决方案，并能对项目过程中的重难点做出分析，提出相应的技术应对方案并阐述自身优势。</w:t>
      </w:r>
    </w:p>
    <w:p w14:paraId="08AA2FB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3</w:t>
      </w:r>
      <w:r>
        <w:rPr>
          <w:rFonts w:hint="eastAsia" w:ascii="Times New Roman" w:hAnsi="Times New Roman" w:eastAsia="宋体" w:cs="Times New Roman (正文 CS 字体)"/>
          <w:sz w:val="24"/>
        </w:rPr>
        <w:t>、本次项目投标人还应充分考虑</w:t>
      </w:r>
      <w:r>
        <w:rPr>
          <w:rFonts w:hint="eastAsia" w:ascii="Times New Roman" w:hAnsi="Times New Roman" w:eastAsia="宋体" w:cs="Times New Roman (正文 CS 字体)"/>
          <w:sz w:val="24"/>
          <w:lang w:val="en-US" w:eastAsia="zh-CN"/>
        </w:rPr>
        <w:t>海南医科大学第二附属医院</w:t>
      </w:r>
      <w:r>
        <w:rPr>
          <w:rFonts w:hint="eastAsia" w:ascii="Times New Roman" w:hAnsi="Times New Roman" w:eastAsia="宋体" w:cs="Times New Roman (正文 CS 字体)"/>
          <w:sz w:val="24"/>
        </w:rPr>
        <w:t>院现有系统的数据继承问题，确保现有系统数据可以继续使用。</w:t>
      </w:r>
    </w:p>
    <w:p w14:paraId="7F2B192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4</w:t>
      </w:r>
      <w:r>
        <w:rPr>
          <w:rFonts w:hint="eastAsia" w:ascii="Times New Roman" w:hAnsi="Times New Roman" w:eastAsia="宋体" w:cs="Times New Roman (正文 CS 字体)"/>
          <w:sz w:val="24"/>
        </w:rPr>
        <w:t>、本次项目涉及的系统产生或利用的数据涉及到大量患者隐私，投标人应做好相应的信息安全保障设计。</w:t>
      </w:r>
    </w:p>
    <w:p w14:paraId="50E55E5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5</w:t>
      </w:r>
      <w:r>
        <w:rPr>
          <w:rFonts w:hint="eastAsia" w:ascii="Times New Roman" w:hAnsi="Times New Roman" w:eastAsia="宋体" w:cs="Times New Roman (正文 CS 字体)"/>
          <w:sz w:val="24"/>
        </w:rPr>
        <w:t>、投标人应具备高性能医疗卫生软件的开发能力，投标产品应充分考虑到医院大业务量环境下的运行效率。</w:t>
      </w:r>
    </w:p>
    <w:p w14:paraId="3AC73F4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6</w:t>
      </w:r>
      <w:r>
        <w:rPr>
          <w:rFonts w:hint="eastAsia" w:ascii="Times New Roman" w:hAnsi="Times New Roman" w:eastAsia="宋体" w:cs="Times New Roman (正文 CS 字体)"/>
          <w:sz w:val="24"/>
        </w:rPr>
        <w:t>、项目实施期间，如因政策变化或医院管理流程变更的原因，需要对系统进行相应的客户化修改，投标人须无条件满足。</w:t>
      </w:r>
    </w:p>
    <w:p w14:paraId="6336B3C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rPr>
      </w:pPr>
      <w:r>
        <w:rPr>
          <w:rFonts w:hint="eastAsia" w:ascii="Times New Roman" w:hAnsi="Times New Roman" w:eastAsia="宋体" w:cs="Times New Roman (正文 CS 字体)"/>
          <w:sz w:val="24"/>
          <w:lang w:val="en-US" w:eastAsia="zh-CN"/>
        </w:rPr>
        <w:t>7</w:t>
      </w:r>
      <w:r>
        <w:rPr>
          <w:rFonts w:hint="eastAsia" w:ascii="Times New Roman" w:hAnsi="Times New Roman" w:eastAsia="宋体" w:cs="Times New Roman (正文 CS 字体)"/>
          <w:sz w:val="24"/>
        </w:rPr>
        <w:t>、为确保项目交付后系统的稳定可靠运行，投标人中标交付后</w:t>
      </w:r>
      <w:r>
        <w:rPr>
          <w:rFonts w:hint="eastAsia" w:ascii="Times New Roman" w:hAnsi="Times New Roman" w:eastAsia="宋体" w:cs="Times New Roman (正文 CS 字体)"/>
          <w:sz w:val="24"/>
          <w:lang w:val="en-US" w:eastAsia="zh-CN"/>
        </w:rPr>
        <w:t>需</w:t>
      </w:r>
      <w:r>
        <w:rPr>
          <w:rFonts w:hint="eastAsia" w:ascii="Times New Roman" w:hAnsi="Times New Roman" w:eastAsia="宋体" w:cs="Times New Roman (正文 CS 字体)"/>
          <w:sz w:val="24"/>
        </w:rPr>
        <w:t>要提供专业的售后服务，投标人应具备较好的医院软件运维信息化管理能力和服务体系。</w:t>
      </w:r>
    </w:p>
    <w:p w14:paraId="70A6D46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8</w:t>
      </w:r>
      <w:r>
        <w:rPr>
          <w:rFonts w:hint="eastAsia" w:ascii="Times New Roman" w:hAnsi="Times New Roman" w:eastAsia="宋体" w:cs="Times New Roman (正文 CS 字体)"/>
          <w:sz w:val="24"/>
        </w:rPr>
        <w:t>、投标人在项目实施及服务过程中，应遵循知识产权管理体系做好文档管理工作，在项目验收时进行相关文档的移交，文档资料必须符合软件工程的相关</w:t>
      </w:r>
      <w:r>
        <w:rPr>
          <w:rFonts w:hint="eastAsia" w:ascii="Times New Roman" w:hAnsi="Times New Roman" w:eastAsia="宋体" w:cs="Times New Roman (正文 CS 字体)"/>
          <w:sz w:val="24"/>
          <w:lang w:val="en-US" w:eastAsia="zh-CN"/>
        </w:rPr>
        <w:t>要求，并提供明确的交付清单。</w:t>
      </w:r>
    </w:p>
    <w:p w14:paraId="3DE4FB7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eastAsia" w:ascii="Times New Roman" w:hAnsi="Times New Roman" w:eastAsia="宋体" w:cs="Times New Roman (正文 CS 字体)"/>
          <w:sz w:val="24"/>
          <w:lang w:val="en-US" w:eastAsia="zh-CN"/>
        </w:rPr>
        <w:t>9、本次项目应遵循《中华人民共和国数据安全法》、《中华人民共和国网络安全法》、《中国人民共和国个人信息保护法》等标准规范文件要求进行建设，如以上法律法规、标准规范有发布新版本，依据最新版本执行。</w:t>
      </w:r>
    </w:p>
    <w:p w14:paraId="5A4D71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正文 CS 字体)"/>
          <w:sz w:val="24"/>
          <w:lang w:val="en-US" w:eastAsia="zh-CN"/>
        </w:rPr>
      </w:pPr>
      <w:r>
        <w:rPr>
          <w:rFonts w:hint="default" w:ascii="Times New Roman" w:hAnsi="Times New Roman" w:eastAsia="宋体" w:cs="Times New Roman (正文 CS 字体)"/>
          <w:sz w:val="24"/>
          <w:lang w:val="en-US" w:eastAsia="zh-CN"/>
        </w:rPr>
        <w:t>10</w:t>
      </w:r>
      <w:r>
        <w:rPr>
          <w:rFonts w:hint="eastAsia" w:ascii="Times New Roman" w:hAnsi="Times New Roman" w:eastAsia="宋体" w:cs="Times New Roman (正文 CS 字体)"/>
          <w:sz w:val="24"/>
          <w:lang w:val="en-US" w:eastAsia="zh-CN"/>
        </w:rPr>
        <w:t>、投标人应充分调研招标人现有业务系统的运行情况，评估与招标人现有业务系统数据对接方式及工作量，项目实施过程中产生的第三方接口费用由中标人承担。</w:t>
      </w:r>
    </w:p>
    <w:p w14:paraId="4CDC682E">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5安全保障</w:t>
      </w:r>
    </w:p>
    <w:p w14:paraId="569D1BA1">
      <w:pPr>
        <w:pStyle w:val="9"/>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color w:val="auto"/>
          <w:sz w:val="24"/>
          <w:szCs w:val="24"/>
          <w:highlight w:val="none"/>
          <w:lang w:eastAsia="zh-CN"/>
        </w:rPr>
      </w:pPr>
      <w:r>
        <w:rPr>
          <w:rFonts w:hint="eastAsia" w:ascii="Times New Roman" w:hAnsi="Times New Roman" w:eastAsia="宋体" w:cs="Times New Roman"/>
          <w:b w:val="0"/>
          <w:bCs w:val="0"/>
          <w:color w:val="000000"/>
          <w:sz w:val="24"/>
          <w:szCs w:val="24"/>
          <w:highlight w:val="none"/>
          <w:lang w:val="en-US" w:eastAsia="zh-CN"/>
        </w:rPr>
        <w:t>1、本次项目遵循</w:t>
      </w:r>
      <w:r>
        <w:rPr>
          <w:rFonts w:hint="eastAsia" w:ascii="Times New Roman" w:hAnsi="Times New Roman" w:eastAsia="宋体" w:cs="Times New Roman"/>
          <w:b w:val="0"/>
          <w:bCs w:val="0"/>
          <w:color w:val="000000"/>
          <w:sz w:val="24"/>
          <w:szCs w:val="24"/>
          <w:highlight w:val="none"/>
        </w:rPr>
        <w:t>《中华人民共和国数据安全法》、《中华人民共和国网络安</w:t>
      </w:r>
      <w:r>
        <w:rPr>
          <w:rFonts w:hint="eastAsia" w:ascii="Times New Roman" w:hAnsi="Times New Roman" w:eastAsia="宋体" w:cs="Times New Roman"/>
          <w:b w:val="0"/>
          <w:bCs w:val="0"/>
          <w:color w:val="auto"/>
          <w:sz w:val="24"/>
          <w:szCs w:val="24"/>
          <w:highlight w:val="none"/>
        </w:rPr>
        <w:t>全法》、《中国人民共和国个人信息保护法》等标准规范文件要求进行建设</w:t>
      </w:r>
      <w:r>
        <w:rPr>
          <w:rFonts w:hint="eastAsia" w:ascii="Times New Roman" w:hAnsi="Times New Roman" w:eastAsia="宋体" w:cs="Times New Roman"/>
          <w:b w:val="0"/>
          <w:bCs w:val="0"/>
          <w:color w:val="auto"/>
          <w:sz w:val="24"/>
          <w:szCs w:val="24"/>
          <w:highlight w:val="none"/>
          <w:lang w:eastAsia="zh-CN"/>
        </w:rPr>
        <w:t>。</w:t>
      </w:r>
    </w:p>
    <w:p w14:paraId="1DB3FBD1">
      <w:pPr>
        <w:pStyle w:val="9"/>
        <w:keepNext w:val="0"/>
        <w:keepLines w:val="0"/>
        <w:pageBreakBefore w:val="0"/>
        <w:widowControl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bCs w:val="0"/>
          <w:color w:val="auto"/>
          <w:sz w:val="24"/>
          <w:szCs w:val="24"/>
          <w:highlight w:val="none"/>
          <w:lang w:val="en-US" w:eastAsia="zh-CN"/>
        </w:rPr>
      </w:pPr>
      <w:r>
        <w:rPr>
          <w:rFonts w:hint="eastAsia" w:ascii="Times New Roman" w:hAnsi="Times New Roman" w:eastAsia="宋体" w:cs="Times New Roman"/>
          <w:b w:val="0"/>
          <w:bCs w:val="0"/>
          <w:color w:val="auto"/>
          <w:sz w:val="24"/>
          <w:szCs w:val="24"/>
          <w:highlight w:val="none"/>
          <w:lang w:val="en-US" w:eastAsia="zh-CN"/>
        </w:rPr>
        <w:t>2、中标人承诺，本次项目所交付的产品满足信息安全相关要求，且交付产品无软件缺陷和漏洞，如后续中标人交付产品被检出信息安全、软件缺陷和漏洞等相关问题，中标人终身无条件配合采购人进行整改，且整改费用已经包含在本项目金额内，中标人不再另行收费。</w:t>
      </w:r>
    </w:p>
    <w:p w14:paraId="2C1D98C6">
      <w:pPr>
        <w:pStyle w:val="9"/>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6、包装、运输与保险</w:t>
      </w:r>
    </w:p>
    <w:p w14:paraId="3626663C">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sz w:val="24"/>
          <w:szCs w:val="20"/>
          <w:lang w:val="en-US"/>
        </w:rPr>
      </w:pPr>
      <w:r>
        <w:rPr>
          <w:rFonts w:hint="eastAsia" w:ascii="宋体" w:hAnsi="宋体" w:eastAsia="宋体" w:cs="宋体"/>
          <w:kern w:val="2"/>
          <w:sz w:val="24"/>
          <w:szCs w:val="20"/>
          <w:lang w:val="en-US" w:eastAsia="zh-CN" w:bidi="ar"/>
        </w:rPr>
        <w:t>1、投标人提供的所有设备应为原厂包装，能够防止产品在运输中损坏或变质。这类包装应采取防潮、防晒、防锈、防腐蚀、防震动及防止其它损坏的必要保护措施，从而保护其能够经受多次搬运、装卸及长途运输。投标人应承担因包装损坏或防护措施不当所造成任何损失的责任。每件包装箱内应附一份详细装箱清单和质量检验合格证书。</w:t>
      </w:r>
    </w:p>
    <w:p w14:paraId="54426AC2">
      <w:pPr>
        <w:pStyle w:val="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rPr>
      </w:pPr>
      <w:r>
        <w:rPr>
          <w:rFonts w:hint="eastAsia" w:ascii="宋体" w:hAnsi="宋体" w:eastAsia="宋体" w:cs="宋体"/>
          <w:kern w:val="2"/>
          <w:sz w:val="24"/>
          <w:szCs w:val="20"/>
          <w:lang w:val="en-US" w:eastAsia="zh-CN" w:bidi="ar"/>
        </w:rPr>
        <w:t>2、投标人负责安排运输工具，并支付运费，确保按期按质交货。投标人承担因运输、搬运过程中防护措施不当造成的任何损失。</w:t>
      </w:r>
    </w:p>
    <w:p w14:paraId="0C966391">
      <w:pPr>
        <w:pStyle w:val="9"/>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7服务及其他要求</w:t>
      </w:r>
    </w:p>
    <w:p w14:paraId="158C51D4">
      <w:pPr>
        <w:pStyle w:val="9"/>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7.1项目实施</w:t>
      </w:r>
    </w:p>
    <w:p w14:paraId="6EFE20B3">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ascii="Times New Roman" w:hAnsi="Times New Roman" w:eastAsia="宋体" w:cs="Times New Roman"/>
          <w:sz w:val="24"/>
          <w:szCs w:val="24"/>
        </w:rPr>
      </w:pPr>
      <w:r>
        <w:rPr>
          <w:rFonts w:hint="eastAsia" w:ascii="Times New Roman" w:hAnsi="Times New Roman" w:eastAsia="宋体" w:cs="Times New Roman"/>
          <w:color w:val="FF0000"/>
          <w:sz w:val="24"/>
          <w:szCs w:val="24"/>
        </w:rPr>
        <w:t>本项目工期</w:t>
      </w:r>
      <w:r>
        <w:rPr>
          <w:rFonts w:hint="eastAsia" w:ascii="Times New Roman" w:hAnsi="Times New Roman" w:eastAsia="宋体" w:cs="Times New Roman"/>
          <w:color w:val="FF0000"/>
          <w:sz w:val="24"/>
          <w:szCs w:val="24"/>
          <w:lang w:val="en-US" w:eastAsia="zh-CN"/>
        </w:rPr>
        <w:t>为90</w:t>
      </w:r>
      <w:r>
        <w:rPr>
          <w:rFonts w:ascii="Times New Roman" w:hAnsi="Times New Roman" w:eastAsia="宋体" w:cs="Times New Roman"/>
          <w:color w:val="FF0000"/>
          <w:sz w:val="24"/>
          <w:szCs w:val="24"/>
        </w:rPr>
        <w:t>个</w:t>
      </w:r>
      <w:r>
        <w:rPr>
          <w:rFonts w:hint="eastAsia" w:ascii="Times New Roman" w:hAnsi="Times New Roman" w:eastAsia="宋体" w:cs="Times New Roman"/>
          <w:color w:val="FF0000"/>
          <w:sz w:val="24"/>
          <w:szCs w:val="24"/>
        </w:rPr>
        <w:t>日历天</w:t>
      </w:r>
      <w:r>
        <w:rPr>
          <w:rFonts w:hint="eastAsia" w:ascii="Times New Roman" w:hAnsi="Times New Roman" w:eastAsia="宋体" w:cs="Times New Roman"/>
          <w:color w:val="FF0000"/>
          <w:sz w:val="24"/>
          <w:szCs w:val="24"/>
          <w:lang w:eastAsia="zh-CN"/>
        </w:rPr>
        <w:t>，</w:t>
      </w:r>
      <w:r>
        <w:rPr>
          <w:rFonts w:hint="eastAsia" w:ascii="Times New Roman" w:hAnsi="Times New Roman" w:eastAsia="宋体" w:cs="Times New Roman"/>
          <w:color w:val="auto"/>
          <w:sz w:val="24"/>
          <w:szCs w:val="24"/>
          <w:lang w:val="en-US" w:eastAsia="zh-CN"/>
        </w:rPr>
        <w:t>即投标人须在合同签订后90个日历天内，完成软件的供货、安装、调试等工作，确保交付物上线稳定试运行。</w:t>
      </w:r>
      <w:r>
        <w:rPr>
          <w:rFonts w:ascii="Times New Roman" w:hAnsi="Times New Roman" w:eastAsia="宋体" w:cs="Times New Roman"/>
          <w:color w:val="auto"/>
          <w:sz w:val="24"/>
          <w:szCs w:val="24"/>
        </w:rPr>
        <w:t>投标人应切实做好项目进度管理规划，在确保项目质量和安全的原则下，控制项</w:t>
      </w:r>
      <w:r>
        <w:rPr>
          <w:rFonts w:ascii="Times New Roman" w:hAnsi="Times New Roman" w:eastAsia="宋体" w:cs="Times New Roman"/>
          <w:sz w:val="24"/>
          <w:szCs w:val="24"/>
        </w:rPr>
        <w:t>目进度，确保项目建设按期完成并投入正常运行。</w:t>
      </w:r>
    </w:p>
    <w:p w14:paraId="644B94E0">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sz w:val="24"/>
          <w:szCs w:val="24"/>
          <w:highlight w:val="none"/>
        </w:rPr>
        <w:t>项目实施期间，投标人应根据项目建设内容和进度需要，</w:t>
      </w:r>
      <w:r>
        <w:rPr>
          <w:rFonts w:hint="eastAsia" w:ascii="Times New Roman" w:hAnsi="Times New Roman" w:eastAsia="宋体" w:cs="Times New Roman"/>
          <w:sz w:val="24"/>
          <w:szCs w:val="24"/>
          <w:highlight w:val="none"/>
          <w:lang w:val="en-US" w:eastAsia="zh-CN"/>
        </w:rPr>
        <w:t>安排</w:t>
      </w:r>
      <w:r>
        <w:rPr>
          <w:rFonts w:hint="eastAsia" w:ascii="Times New Roman" w:hAnsi="Times New Roman" w:eastAsia="宋体" w:cs="Times New Roman"/>
          <w:sz w:val="24"/>
          <w:szCs w:val="24"/>
          <w:highlight w:val="none"/>
        </w:rPr>
        <w:t>具有一定资质能力水平的成员组成项目团队对</w:t>
      </w:r>
      <w:r>
        <w:rPr>
          <w:rFonts w:hint="eastAsia" w:ascii="Times New Roman" w:hAnsi="Times New Roman" w:eastAsia="宋体" w:cs="Times New Roman"/>
          <w:sz w:val="24"/>
          <w:szCs w:val="24"/>
          <w:highlight w:val="none"/>
          <w:lang w:val="en-US" w:eastAsia="zh-CN"/>
        </w:rPr>
        <w:t>项目</w:t>
      </w:r>
      <w:r>
        <w:rPr>
          <w:rFonts w:hint="eastAsia" w:ascii="Times New Roman" w:hAnsi="Times New Roman" w:eastAsia="宋体" w:cs="Times New Roman"/>
          <w:sz w:val="24"/>
          <w:szCs w:val="24"/>
          <w:highlight w:val="none"/>
        </w:rPr>
        <w:t>进行实施及服务。项目团队应配置合理且具有较为合理明确的分工，</w:t>
      </w:r>
      <w:r>
        <w:rPr>
          <w:rFonts w:hint="eastAsia" w:ascii="Times New Roman" w:hAnsi="Times New Roman" w:eastAsia="宋体" w:cs="Times New Roman"/>
          <w:sz w:val="24"/>
        </w:rPr>
        <w:t>应至少包含项目负责人、技术负责人、系统需求分析人员、软件测试人员等。</w:t>
      </w:r>
    </w:p>
    <w:p w14:paraId="0D16CEF2">
      <w:pPr>
        <w:keepNext w:val="0"/>
        <w:keepLines w:val="0"/>
        <w:pageBreakBefore w:val="0"/>
        <w:widowControl w:val="0"/>
        <w:kinsoku/>
        <w:wordWrap/>
        <w:overflowPunct/>
        <w:topLinePunct w:val="0"/>
        <w:autoSpaceDE/>
        <w:autoSpaceDN/>
        <w:bidi w:val="0"/>
        <w:adjustRightInd/>
        <w:snapToGrid/>
        <w:spacing w:line="360" w:lineRule="auto"/>
        <w:ind w:right="0" w:firstLine="480" w:firstLineChars="200"/>
        <w:textAlignment w:val="auto"/>
        <w:rPr>
          <w:rFonts w:hint="eastAsia" w:ascii="Times New Roman" w:hAnsi="Times New Roman" w:eastAsia="宋体" w:cs="Times New Roman"/>
          <w:sz w:val="24"/>
        </w:rPr>
      </w:pPr>
      <w:r>
        <w:rPr>
          <w:rFonts w:hint="eastAsia" w:ascii="Times New Roman" w:hAnsi="Times New Roman" w:eastAsia="宋体" w:cs="Times New Roman"/>
          <w:b w:val="0"/>
          <w:bCs w:val="0"/>
          <w:color w:val="000000"/>
          <w:sz w:val="24"/>
          <w:szCs w:val="24"/>
        </w:rPr>
        <w:t>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对其派出人员的安全负全部责任。如</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人员在合同履行中发生事故的，</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应负责处理并承担责任。在合同履行期间，</w:t>
      </w:r>
      <w:r>
        <w:rPr>
          <w:rFonts w:hint="eastAsia" w:ascii="Times New Roman" w:hAnsi="Times New Roman" w:eastAsia="宋体" w:cs="Times New Roman"/>
          <w:b w:val="0"/>
          <w:bCs w:val="0"/>
          <w:color w:val="000000"/>
          <w:sz w:val="24"/>
          <w:szCs w:val="24"/>
          <w:lang w:val="en-US" w:eastAsia="zh-CN"/>
        </w:rPr>
        <w:t>投标人</w:t>
      </w:r>
      <w:r>
        <w:rPr>
          <w:rFonts w:hint="eastAsia" w:ascii="Times New Roman" w:hAnsi="Times New Roman" w:eastAsia="宋体" w:cs="Times New Roman"/>
          <w:b w:val="0"/>
          <w:bCs w:val="0"/>
          <w:color w:val="000000"/>
          <w:sz w:val="24"/>
          <w:szCs w:val="24"/>
        </w:rPr>
        <w:t>应始终具有合格的用工主体资格，应与派出的项目人员建立合法的劳动关系并履行相关职责。</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与</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及</w:t>
      </w:r>
      <w:r>
        <w:rPr>
          <w:rFonts w:hint="eastAsia" w:ascii="Times New Roman" w:hAnsi="Times New Roman" w:eastAsia="宋体" w:cs="Times New Roman"/>
          <w:b w:val="0"/>
          <w:bCs w:val="0"/>
          <w:color w:val="000000"/>
          <w:sz w:val="24"/>
          <w:szCs w:val="24"/>
          <w:lang w:val="en-US" w:eastAsia="zh-CN"/>
        </w:rPr>
        <w:t>采购人</w:t>
      </w:r>
      <w:r>
        <w:rPr>
          <w:rFonts w:hint="eastAsia" w:ascii="Times New Roman" w:hAnsi="Times New Roman" w:eastAsia="宋体" w:cs="Times New Roman"/>
          <w:b w:val="0"/>
          <w:bCs w:val="0"/>
          <w:color w:val="000000"/>
          <w:sz w:val="24"/>
          <w:szCs w:val="24"/>
        </w:rPr>
        <w:t>服务人员不构成劳务派遣关系。</w:t>
      </w:r>
    </w:p>
    <w:p w14:paraId="49F8787E">
      <w:pPr>
        <w:pStyle w:val="9"/>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7.2项目培训</w:t>
      </w:r>
    </w:p>
    <w:p w14:paraId="27C9076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面向系统管理员、系统操作人员等不同群体</w:t>
      </w:r>
      <w:r>
        <w:rPr>
          <w:rFonts w:hint="eastAsia" w:ascii="Times New Roman" w:hAnsi="Times New Roman" w:eastAsia="宋体" w:cs="Times New Roman"/>
          <w:sz w:val="24"/>
          <w:szCs w:val="24"/>
          <w:lang w:eastAsia="zh-CN"/>
        </w:rPr>
        <w:t>，</w:t>
      </w:r>
      <w:r>
        <w:rPr>
          <w:rFonts w:hint="eastAsia" w:ascii="Times New Roman" w:hAnsi="Times New Roman" w:eastAsia="宋体" w:cs="Times New Roman"/>
          <w:sz w:val="24"/>
          <w:szCs w:val="24"/>
          <w:lang w:val="en-US" w:eastAsia="zh-CN"/>
        </w:rPr>
        <w:t>投标人</w:t>
      </w:r>
      <w:r>
        <w:rPr>
          <w:rFonts w:hint="eastAsia" w:ascii="Times New Roman" w:hAnsi="Times New Roman" w:eastAsia="宋体" w:cs="Times New Roman"/>
          <w:sz w:val="24"/>
          <w:szCs w:val="24"/>
        </w:rPr>
        <w:t>应提供与本次项目相关的系统化、定制化和有针对性的培训。</w:t>
      </w:r>
    </w:p>
    <w:p w14:paraId="095BC488">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培训方式包含：</w:t>
      </w:r>
      <w:r>
        <w:rPr>
          <w:rFonts w:hint="eastAsia" w:ascii="Times New Roman" w:hAnsi="Times New Roman" w:eastAsia="宋体" w:cs="Times New Roman"/>
          <w:sz w:val="24"/>
          <w:szCs w:val="24"/>
        </w:rPr>
        <w:t>一对一培训、小班培训和集中培训等不同培训方式</w:t>
      </w:r>
      <w:r>
        <w:rPr>
          <w:rFonts w:hint="eastAsia" w:ascii="Times New Roman" w:hAnsi="Times New Roman" w:eastAsia="宋体" w:cs="Times New Roman"/>
          <w:sz w:val="24"/>
          <w:szCs w:val="24"/>
          <w:lang w:eastAsia="zh-CN"/>
        </w:rPr>
        <w:t>。</w:t>
      </w:r>
    </w:p>
    <w:p w14:paraId="520B07E7">
      <w:pPr>
        <w:keepNext w:val="0"/>
        <w:keepLines w:val="0"/>
        <w:pageBreakBefore w:val="0"/>
        <w:widowControl w:val="0"/>
        <w:suppressLineNumbers w:val="0"/>
        <w:kinsoku/>
        <w:wordWrap/>
        <w:overflowPunct/>
        <w:topLinePunct w:val="0"/>
        <w:autoSpaceDE/>
        <w:autoSpaceDN/>
        <w:bidi w:val="0"/>
        <w:spacing w:beforeAutospacing="0" w:afterAutospacing="0" w:line="360" w:lineRule="auto"/>
        <w:ind w:left="0" w:right="0" w:firstLine="480" w:firstLineChars="200"/>
        <w:jc w:val="both"/>
        <w:textAlignment w:val="auto"/>
        <w:rPr>
          <w:rFonts w:hint="eastAsia" w:ascii="Times New Roman" w:hAnsi="Times New Roman" w:eastAsia="宋体" w:cs="Times New Roman"/>
          <w:sz w:val="24"/>
          <w:szCs w:val="24"/>
        </w:rPr>
      </w:pPr>
      <w:r>
        <w:rPr>
          <w:rFonts w:hint="eastAsia" w:ascii="Times New Roman" w:hAnsi="Times New Roman" w:eastAsia="宋体" w:cs="Times New Roman"/>
          <w:b w:val="0"/>
          <w:kern w:val="2"/>
          <w:sz w:val="24"/>
          <w:szCs w:val="24"/>
          <w:highlight w:val="none"/>
          <w:lang w:val="en-US" w:eastAsia="zh-CN" w:bidi="ar"/>
        </w:rPr>
        <w:t>投标人确保在系统正式运行前，为用户培训至少3名合格的系统管理员。</w:t>
      </w:r>
    </w:p>
    <w:p w14:paraId="0771D359">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培训费用应已经包含在</w:t>
      </w:r>
      <w:r>
        <w:rPr>
          <w:rFonts w:hint="eastAsia" w:ascii="Times New Roman" w:hAnsi="Times New Roman" w:eastAsia="宋体" w:cs="Times New Roman"/>
          <w:sz w:val="24"/>
          <w:szCs w:val="24"/>
          <w:lang w:val="en-US" w:eastAsia="zh-CN"/>
        </w:rPr>
        <w:t>投标金额</w:t>
      </w:r>
      <w:r>
        <w:rPr>
          <w:rFonts w:hint="eastAsia" w:ascii="Times New Roman" w:hAnsi="Times New Roman" w:eastAsia="宋体" w:cs="Times New Roman"/>
          <w:sz w:val="24"/>
          <w:szCs w:val="24"/>
        </w:rPr>
        <w:t>中，</w:t>
      </w:r>
      <w:r>
        <w:rPr>
          <w:rFonts w:hint="eastAsia" w:ascii="Times New Roman" w:hAnsi="Times New Roman" w:eastAsia="宋体" w:cs="Times New Roman"/>
          <w:sz w:val="24"/>
          <w:szCs w:val="24"/>
          <w:lang w:val="en-US" w:eastAsia="zh-CN"/>
        </w:rPr>
        <w:t>采购人</w:t>
      </w:r>
      <w:r>
        <w:rPr>
          <w:rFonts w:hint="eastAsia" w:ascii="Times New Roman" w:hAnsi="Times New Roman" w:eastAsia="宋体" w:cs="Times New Roman"/>
          <w:sz w:val="24"/>
          <w:szCs w:val="24"/>
        </w:rPr>
        <w:t>不再另行付费。</w:t>
      </w:r>
    </w:p>
    <w:p w14:paraId="287572CB">
      <w:pPr>
        <w:pStyle w:val="9"/>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7.3售后服务</w:t>
      </w:r>
    </w:p>
    <w:p w14:paraId="51F9F719">
      <w:pPr>
        <w:pStyle w:val="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color w:val="FF0000"/>
          <w:sz w:val="24"/>
          <w:szCs w:val="24"/>
          <w:highlight w:val="none"/>
        </w:rPr>
        <w:t>本项目</w:t>
      </w:r>
      <w:r>
        <w:rPr>
          <w:rFonts w:hint="eastAsia" w:ascii="Times New Roman" w:hAnsi="Times New Roman" w:eastAsia="宋体" w:cs="Times New Roman"/>
          <w:b w:val="0"/>
          <w:color w:val="FF0000"/>
          <w:sz w:val="24"/>
          <w:szCs w:val="24"/>
          <w:highlight w:val="none"/>
          <w:lang w:val="en-US" w:eastAsia="zh-CN"/>
        </w:rPr>
        <w:t>提供贰年的质保服务</w:t>
      </w:r>
      <w:r>
        <w:rPr>
          <w:rFonts w:hint="eastAsia" w:ascii="Times New Roman" w:hAnsi="Times New Roman" w:eastAsia="宋体" w:cs="Times New Roman"/>
          <w:b w:val="0"/>
          <w:sz w:val="24"/>
          <w:szCs w:val="24"/>
          <w:highlight w:val="none"/>
          <w:lang w:val="en-US" w:eastAsia="zh-CN"/>
        </w:rPr>
        <w:t>，质保服务费包含在本项目金额内，质保期从签订项目竣工报告之日起计算。质保</w:t>
      </w:r>
      <w:r>
        <w:rPr>
          <w:rFonts w:hint="eastAsia" w:ascii="Times New Roman" w:hAnsi="Times New Roman" w:eastAsia="宋体" w:cs="Times New Roman"/>
          <w:b w:val="0"/>
          <w:bCs w:val="0"/>
          <w:iCs w:val="0"/>
          <w:color w:val="000000"/>
          <w:sz w:val="24"/>
          <w:szCs w:val="24"/>
          <w:highlight w:val="none"/>
        </w:rPr>
        <w:t>期内所发生的一切费用包括系统技术支持</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系统维护或升级</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接口对接</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人员交通</w:t>
      </w:r>
      <w:r>
        <w:rPr>
          <w:rFonts w:hint="eastAsia" w:ascii="Times New Roman" w:hAnsi="Times New Roman" w:eastAsia="宋体" w:cs="Times New Roman"/>
          <w:b w:val="0"/>
          <w:bCs w:val="0"/>
          <w:iCs w:val="0"/>
          <w:color w:val="000000"/>
          <w:sz w:val="24"/>
          <w:szCs w:val="24"/>
          <w:highlight w:val="none"/>
          <w:lang w:eastAsia="zh-CN"/>
        </w:rPr>
        <w:t>、</w:t>
      </w:r>
      <w:r>
        <w:rPr>
          <w:rFonts w:hint="eastAsia" w:ascii="Times New Roman" w:hAnsi="Times New Roman" w:eastAsia="宋体" w:cs="Times New Roman"/>
          <w:b w:val="0"/>
          <w:bCs w:val="0"/>
          <w:iCs w:val="0"/>
          <w:color w:val="000000"/>
          <w:sz w:val="24"/>
          <w:szCs w:val="24"/>
          <w:highlight w:val="none"/>
        </w:rPr>
        <w:t>差旅服务等费用</w:t>
      </w:r>
      <w:r>
        <w:rPr>
          <w:rFonts w:hint="eastAsia" w:ascii="Times New Roman" w:hAnsi="Times New Roman" w:eastAsia="宋体" w:cs="Times New Roman"/>
          <w:b w:val="0"/>
          <w:bCs w:val="0"/>
          <w:iCs w:val="0"/>
          <w:color w:val="000000"/>
          <w:sz w:val="24"/>
          <w:szCs w:val="24"/>
          <w:highlight w:val="none"/>
          <w:lang w:val="en-US" w:eastAsia="zh-CN"/>
        </w:rPr>
        <w:t>均包含在投标金额内，采购人不再另行付费。</w:t>
      </w:r>
    </w:p>
    <w:p w14:paraId="358F5D33">
      <w:pPr>
        <w:pStyle w:val="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default" w:ascii="Times New Roman" w:hAnsi="Times New Roman" w:eastAsia="宋体" w:cs="Times New Roman"/>
          <w:b w:val="0"/>
          <w:color w:val="000000"/>
          <w:sz w:val="24"/>
          <w:szCs w:val="24"/>
          <w:highlight w:val="none"/>
          <w:lang w:val="en-US"/>
        </w:rPr>
      </w:pPr>
      <w:r>
        <w:rPr>
          <w:rFonts w:hint="eastAsia" w:ascii="Times New Roman" w:hAnsi="Times New Roman" w:eastAsia="宋体" w:cs="Times New Roman"/>
          <w:b w:val="0"/>
          <w:sz w:val="24"/>
          <w:szCs w:val="24"/>
          <w:highlight w:val="none"/>
          <w:lang w:val="en-US" w:eastAsia="zh-CN"/>
        </w:rPr>
        <w:t>质保期内，</w:t>
      </w:r>
      <w:r>
        <w:rPr>
          <w:rFonts w:hint="eastAsia" w:ascii="Times New Roman" w:hAnsi="Times New Roman" w:eastAsia="宋体" w:cs="Times New Roman"/>
          <w:b w:val="0"/>
          <w:color w:val="000000"/>
          <w:sz w:val="24"/>
          <w:szCs w:val="24"/>
          <w:highlight w:val="none"/>
          <w:lang w:val="en-US" w:eastAsia="zh-CN"/>
        </w:rPr>
        <w:t>投标人必须提供7*24小时技术支持热线电话（固话，手机）。当发</w:t>
      </w:r>
      <w:r>
        <w:rPr>
          <w:rFonts w:hint="eastAsia" w:ascii="Times New Roman" w:hAnsi="Times New Roman" w:eastAsia="宋体" w:cs="Times New Roman"/>
          <w:b w:val="0"/>
          <w:color w:val="000000"/>
          <w:sz w:val="24"/>
          <w:szCs w:val="24"/>
          <w:highlight w:val="none"/>
        </w:rPr>
        <w:t>生故障时，自报障时起算，1小时内</w:t>
      </w:r>
      <w:r>
        <w:rPr>
          <w:rFonts w:hint="eastAsia" w:ascii="Times New Roman" w:hAnsi="Times New Roman" w:eastAsia="宋体" w:cs="Times New Roman"/>
          <w:b w:val="0"/>
          <w:color w:val="000000"/>
          <w:sz w:val="24"/>
          <w:szCs w:val="24"/>
          <w:highlight w:val="none"/>
          <w:lang w:val="en-US" w:eastAsia="zh-CN"/>
        </w:rPr>
        <w:t>予以实质性</w:t>
      </w:r>
      <w:r>
        <w:rPr>
          <w:rFonts w:hint="eastAsia" w:ascii="Times New Roman" w:hAnsi="Times New Roman" w:eastAsia="宋体" w:cs="Times New Roman"/>
          <w:b w:val="0"/>
          <w:color w:val="000000"/>
          <w:sz w:val="24"/>
          <w:szCs w:val="24"/>
          <w:highlight w:val="none"/>
        </w:rPr>
        <w:t>响应，</w:t>
      </w:r>
      <w:r>
        <w:rPr>
          <w:rFonts w:hint="eastAsia" w:ascii="Times New Roman" w:hAnsi="Times New Roman" w:eastAsia="宋体" w:cs="Times New Roman"/>
          <w:b w:val="0"/>
          <w:kern w:val="2"/>
          <w:sz w:val="24"/>
          <w:szCs w:val="24"/>
          <w:highlight w:val="none"/>
          <w:lang w:val="en-US" w:eastAsia="zh-CN" w:bidi="ar"/>
        </w:rPr>
        <w:t>一般故障应于2小时内解决，严重故障应于12小时内解决。如技术服务人员非现场不能排除故障，除双方另有约定外，必须保证24小时内到达现场进行故障排除。</w:t>
      </w:r>
    </w:p>
    <w:p w14:paraId="2B19EC32">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质保期内，投标人提供：</w:t>
      </w:r>
    </w:p>
    <w:p w14:paraId="21AE0D72">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（一）硬件保修服务</w:t>
      </w:r>
    </w:p>
    <w:p w14:paraId="6BA88B55">
      <w:pPr>
        <w:pStyle w:val="3"/>
        <w:keepNext w:val="0"/>
        <w:keepLines w:val="0"/>
        <w:pageBreakBefore w:val="0"/>
        <w:widowControl/>
        <w:kinsoku/>
        <w:wordWrap/>
        <w:overflowPunct/>
        <w:topLinePunct w:val="0"/>
        <w:autoSpaceDE/>
        <w:autoSpaceDN/>
        <w:bidi w:val="0"/>
        <w:adjustRightInd/>
        <w:snapToGrid/>
        <w:spacing w:before="0" w:beforeLines="0" w:after="0" w:afterLines="0" w:line="360" w:lineRule="auto"/>
        <w:ind w:left="0" w:leftChars="0" w:right="0" w:firstLine="480" w:firstLineChars="200"/>
        <w:textAlignment w:val="auto"/>
        <w:rPr>
          <w:rFonts w:hint="eastAsia"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保修期内，投标人对本项目所有非人为损坏的设备予以免费维修，不能修复的应在收到报障信息后</w:t>
      </w:r>
      <w:r>
        <w:rPr>
          <w:rFonts w:hint="default" w:ascii="Times New Roman" w:hAnsi="Times New Roman" w:eastAsia="宋体" w:cs="Times New Roman"/>
          <w:b w:val="0"/>
          <w:sz w:val="24"/>
          <w:szCs w:val="24"/>
          <w:highlight w:val="none"/>
          <w:lang w:val="en-US" w:eastAsia="zh-CN"/>
        </w:rPr>
        <w:t>5</w:t>
      </w:r>
      <w:r>
        <w:rPr>
          <w:rFonts w:hint="eastAsia" w:ascii="Times New Roman" w:hAnsi="Times New Roman" w:eastAsia="宋体" w:cs="Times New Roman"/>
          <w:b w:val="0"/>
          <w:sz w:val="24"/>
          <w:szCs w:val="24"/>
          <w:highlight w:val="none"/>
          <w:lang w:val="en-US" w:eastAsia="zh-CN"/>
        </w:rPr>
        <w:t>个日历日内予以免费更换。</w:t>
      </w:r>
    </w:p>
    <w:p w14:paraId="6419E51D">
      <w:pPr>
        <w:keepNext w:val="0"/>
        <w:keepLines w:val="0"/>
        <w:pageBreakBefore w:val="0"/>
        <w:kinsoku/>
        <w:wordWrap/>
        <w:overflowPunct/>
        <w:topLinePunct w:val="0"/>
        <w:autoSpaceDE/>
        <w:autoSpaceDN/>
        <w:bidi w:val="0"/>
        <w:adjustRightInd/>
        <w:snapToGrid w:val="0"/>
        <w:spacing w:line="360" w:lineRule="auto"/>
        <w:ind w:left="0" w:leftChars="0" w:right="0" w:firstLine="480" w:firstLineChars="200"/>
        <w:textAlignment w:val="auto"/>
        <w:rPr>
          <w:rFonts w:hint="default" w:ascii="Times New Roman" w:hAnsi="Times New Roman" w:eastAsia="宋体" w:cs="Times New Roman"/>
          <w:b w:val="0"/>
          <w:sz w:val="24"/>
          <w:szCs w:val="24"/>
          <w:highlight w:val="none"/>
          <w:lang w:val="en-US" w:eastAsia="zh-CN"/>
        </w:rPr>
      </w:pPr>
      <w:r>
        <w:rPr>
          <w:rFonts w:hint="eastAsia" w:ascii="Times New Roman" w:hAnsi="Times New Roman" w:eastAsia="宋体" w:cs="Times New Roman"/>
          <w:b w:val="0"/>
          <w:sz w:val="24"/>
          <w:szCs w:val="24"/>
          <w:highlight w:val="none"/>
          <w:lang w:val="en-US" w:eastAsia="zh-CN"/>
        </w:rPr>
        <w:t>（二）软件质保服务</w:t>
      </w:r>
    </w:p>
    <w:p w14:paraId="68AA243E">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系统</w:t>
      </w:r>
      <w:r>
        <w:rPr>
          <w:rFonts w:hint="eastAsia" w:ascii="Times New Roman" w:hAnsi="Times New Roman" w:eastAsia="宋体" w:cs="Times New Roman"/>
          <w:b w:val="0"/>
          <w:sz w:val="24"/>
          <w:szCs w:val="24"/>
          <w:highlight w:val="none"/>
        </w:rPr>
        <w:t>升级服务。</w:t>
      </w:r>
    </w:p>
    <w:p w14:paraId="32F4C7C8">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用户技术支持和故障排除</w:t>
      </w:r>
      <w:r>
        <w:rPr>
          <w:rFonts w:hint="eastAsia" w:ascii="Times New Roman" w:hAnsi="Times New Roman" w:eastAsia="宋体" w:cs="Times New Roman"/>
          <w:b w:val="0"/>
          <w:sz w:val="24"/>
          <w:szCs w:val="24"/>
          <w:highlight w:val="none"/>
          <w:lang w:val="en-US" w:eastAsia="zh-CN"/>
        </w:rPr>
        <w:t>服务</w:t>
      </w:r>
      <w:r>
        <w:rPr>
          <w:rFonts w:hint="eastAsia" w:ascii="Times New Roman" w:hAnsi="Times New Roman" w:eastAsia="宋体" w:cs="Times New Roman"/>
          <w:b w:val="0"/>
          <w:sz w:val="24"/>
          <w:szCs w:val="24"/>
          <w:highlight w:val="none"/>
        </w:rPr>
        <w:t>。</w:t>
      </w:r>
    </w:p>
    <w:p w14:paraId="74378E77">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个性化需求改造，</w:t>
      </w:r>
      <w:r>
        <w:rPr>
          <w:rFonts w:hint="eastAsia" w:ascii="Times New Roman" w:hAnsi="Times New Roman" w:eastAsia="宋体" w:cs="Times New Roman"/>
          <w:b w:val="0"/>
          <w:kern w:val="2"/>
          <w:sz w:val="24"/>
          <w:szCs w:val="24"/>
          <w:highlight w:val="none"/>
          <w:lang w:val="en-US" w:eastAsia="zh-CN" w:bidi="ar"/>
        </w:rPr>
        <w:t>包括但不限于：个性化功能需求、软件接口开发、数据库视图等。</w:t>
      </w:r>
    </w:p>
    <w:p w14:paraId="6DAF7DAC">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rPr>
        <w:t>数据迁移、备份和恢复</w:t>
      </w:r>
      <w:r>
        <w:rPr>
          <w:rFonts w:hint="eastAsia" w:ascii="Times New Roman" w:hAnsi="Times New Roman" w:eastAsia="宋体" w:cs="Times New Roman"/>
          <w:b w:val="0"/>
          <w:sz w:val="24"/>
          <w:szCs w:val="24"/>
          <w:highlight w:val="none"/>
          <w:lang w:val="en-US" w:eastAsia="zh-CN"/>
        </w:rPr>
        <w:t>服务（如采购人需要）</w:t>
      </w:r>
      <w:r>
        <w:rPr>
          <w:rFonts w:hint="eastAsia" w:ascii="Times New Roman" w:hAnsi="Times New Roman" w:eastAsia="宋体" w:cs="Times New Roman"/>
          <w:b w:val="0"/>
          <w:sz w:val="24"/>
          <w:szCs w:val="24"/>
          <w:highlight w:val="none"/>
        </w:rPr>
        <w:t>。</w:t>
      </w:r>
    </w:p>
    <w:p w14:paraId="501B5E5C">
      <w:pPr>
        <w:keepNext w:val="0"/>
        <w:keepLines w:val="0"/>
        <w:pageBreakBefore w:val="0"/>
        <w:numPr>
          <w:ilvl w:val="0"/>
          <w:numId w:val="2"/>
        </w:numPr>
        <w:kinsoku/>
        <w:wordWrap/>
        <w:overflowPunct/>
        <w:topLinePunct w:val="0"/>
        <w:autoSpaceDE/>
        <w:autoSpaceDN/>
        <w:bidi w:val="0"/>
        <w:adjustRightInd/>
        <w:snapToGrid w:val="0"/>
        <w:spacing w:line="360" w:lineRule="auto"/>
        <w:ind w:left="0" w:leftChars="0" w:right="0" w:firstLine="480" w:firstLineChars="200"/>
        <w:textAlignment w:val="auto"/>
        <w:rPr>
          <w:rFonts w:hint="eastAsia" w:ascii="Times New Roman" w:hAnsi="Times New Roman" w:eastAsia="宋体" w:cs="Times New Roman"/>
          <w:b w:val="0"/>
          <w:sz w:val="24"/>
          <w:szCs w:val="24"/>
          <w:highlight w:val="none"/>
        </w:rPr>
      </w:pPr>
      <w:r>
        <w:rPr>
          <w:rFonts w:hint="eastAsia" w:ascii="Times New Roman" w:hAnsi="Times New Roman" w:eastAsia="宋体" w:cs="Times New Roman"/>
          <w:b w:val="0"/>
          <w:sz w:val="24"/>
          <w:szCs w:val="24"/>
          <w:highlight w:val="none"/>
          <w:lang w:val="en-US" w:eastAsia="zh-CN"/>
        </w:rPr>
        <w:t>每个季度至少提供一次数据库、软件服务巡检</w:t>
      </w:r>
      <w:r>
        <w:rPr>
          <w:rFonts w:hint="eastAsia" w:ascii="Times New Roman" w:hAnsi="Times New Roman" w:eastAsia="宋体" w:cs="Times New Roman"/>
          <w:b w:val="0"/>
          <w:sz w:val="24"/>
          <w:szCs w:val="24"/>
          <w:highlight w:val="none"/>
        </w:rPr>
        <w:t>。</w:t>
      </w:r>
      <w:r>
        <w:rPr>
          <w:rFonts w:hint="eastAsia" w:ascii="Times New Roman" w:hAnsi="Times New Roman" w:eastAsia="宋体" w:cs="Times New Roman"/>
          <w:b w:val="0"/>
          <w:kern w:val="2"/>
          <w:sz w:val="24"/>
          <w:szCs w:val="24"/>
          <w:highlight w:val="none"/>
          <w:vertAlign w:val="baseline"/>
          <w:lang w:val="en-US" w:eastAsia="zh-CN" w:bidi="ar"/>
        </w:rPr>
        <w:t>除定期的巡检之外，根据实际情况提供重大的节假日（包括但不限于五一、十一、春节、元旦等）、会议等事件之前的健康检查工作，包括设备和软件健康状态问题检查等；根据用户巡检要求，提交详尽的巡检报告，并根据检查结果提供建议和维护计划，及时发现并纠正可能出现的问题或隐患。</w:t>
      </w:r>
    </w:p>
    <w:p w14:paraId="4099666D">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内，投标人应及时解决因技术升级等原因给系统应用带来的问题，免费提供补丁程序及技术支持服务等，保证采购人系统因上述原因升级后能正常运行。对采购人提出的修改意见，投标人必须在48小时内予以答复并按照采购人确认的时间组织实施。质保期内所有因软件开发服务问题或因设备更换或修理部件、模块而导致系统停止运行的，质保期将按停运天数两倍（按24小时计算，不满24小时按24小时计算）相应延长。</w:t>
      </w:r>
    </w:p>
    <w:p w14:paraId="3C34D9DA">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kern w:val="2"/>
          <w:sz w:val="24"/>
          <w:szCs w:val="24"/>
          <w:highlight w:val="none"/>
          <w:lang w:val="en-US" w:eastAsia="zh-CN" w:bidi="ar"/>
        </w:rPr>
        <w:t>服务考核：</w:t>
      </w:r>
      <w:r>
        <w:rPr>
          <w:rFonts w:hint="eastAsia" w:ascii="Times New Roman" w:hAnsi="Times New Roman" w:eastAsia="宋体" w:cs="Times New Roman"/>
          <w:b w:val="0"/>
          <w:color w:val="FF0000"/>
          <w:kern w:val="2"/>
          <w:sz w:val="24"/>
          <w:szCs w:val="24"/>
          <w:highlight w:val="none"/>
          <w:lang w:val="en-US" w:eastAsia="zh-CN" w:bidi="ar"/>
        </w:rPr>
        <w:t>贰</w:t>
      </w:r>
      <w:r>
        <w:rPr>
          <w:rFonts w:hint="eastAsia" w:ascii="Times New Roman" w:hAnsi="Times New Roman" w:eastAsia="宋体" w:cs="Times New Roman"/>
          <w:b w:val="0"/>
          <w:kern w:val="2"/>
          <w:sz w:val="24"/>
          <w:szCs w:val="24"/>
          <w:highlight w:val="none"/>
          <w:lang w:val="en-US" w:eastAsia="zh-CN" w:bidi="ar"/>
        </w:rPr>
        <w:t>年</w:t>
      </w: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期满，采购人考核投标人售后服务，作为投标人履约情况及质保金付款的依据，投标人售后服务不达标，采购人有权拒付或扣减投标人质保金，投标人应予接受。</w:t>
      </w:r>
    </w:p>
    <w:p w14:paraId="0D4690DD">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b w:val="0"/>
          <w:kern w:val="2"/>
          <w:sz w:val="24"/>
          <w:szCs w:val="24"/>
          <w:highlight w:val="none"/>
          <w:lang w:val="en-US" w:eastAsia="zh-CN" w:bidi="ar"/>
        </w:rPr>
      </w:pPr>
      <w:r>
        <w:rPr>
          <w:rFonts w:hint="eastAsia" w:ascii="Times New Roman" w:hAnsi="Times New Roman" w:eastAsia="宋体" w:cs="Times New Roman"/>
          <w:b w:val="0"/>
          <w:sz w:val="24"/>
          <w:szCs w:val="24"/>
          <w:highlight w:val="none"/>
          <w:lang w:val="en-US" w:eastAsia="zh-CN"/>
        </w:rPr>
        <w:t>质保</w:t>
      </w:r>
      <w:r>
        <w:rPr>
          <w:rFonts w:hint="eastAsia" w:ascii="Times New Roman" w:hAnsi="Times New Roman" w:eastAsia="宋体" w:cs="Times New Roman"/>
          <w:b w:val="0"/>
          <w:kern w:val="2"/>
          <w:sz w:val="24"/>
          <w:szCs w:val="24"/>
          <w:highlight w:val="none"/>
          <w:lang w:val="en-US" w:eastAsia="zh-CN" w:bidi="ar"/>
        </w:rPr>
        <w:t>期过后，投标人需提供终身有偿维保服务，该有偿维保服务由双方基于海南省相关政府部门出台的运维标准（不高于原则）另行商定和签定。</w:t>
      </w:r>
    </w:p>
    <w:p w14:paraId="61BB44DD">
      <w:pPr>
        <w:pStyle w:val="9"/>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7.4技术支持服务</w:t>
      </w:r>
    </w:p>
    <w:p w14:paraId="23321951">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（一）本项目实施和质保期间投标人提供免费的技术支持服务，形式上包括电话技术支持服务、远程技术支持服务、现场技术支持支持服务（需要时提供）。</w:t>
      </w:r>
    </w:p>
    <w:p w14:paraId="4E7E1DF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（二）系统部署完成后，对于用户在实际使用</w:t>
      </w:r>
      <w:r>
        <w:rPr>
          <w:rFonts w:hint="eastAsia" w:ascii="Times New Roman" w:hAnsi="Times New Roman" w:eastAsia="宋体" w:cs="Times New Roman"/>
          <w:kern w:val="2"/>
          <w:sz w:val="24"/>
          <w:szCs w:val="24"/>
          <w:highlight w:val="none"/>
          <w:vertAlign w:val="baseline"/>
          <w:lang w:val="en-US" w:eastAsia="zh-CN" w:bidi="ar"/>
        </w:rPr>
        <w:t>中所发生各类问题和疑问，投标人随时帮助用户了解由投标人提供的产品或服务所引发的运行异常情况的原因，并提供及时的技术支持和资料帮助。</w:t>
      </w:r>
    </w:p>
    <w:p w14:paraId="637F339D">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highlight w:val="none"/>
          <w:vertAlign w:val="baseline"/>
          <w:lang w:val="en-US" w:eastAsia="zh-CN" w:bidi="ar"/>
        </w:rPr>
        <w:t>（三）投标人根据使用方的实际技术服务支持需要，制定详细的服务支持计划并在实施前与用户沟通。</w:t>
      </w:r>
    </w:p>
    <w:p w14:paraId="0ECDAD6A">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highlight w:val="none"/>
          <w:vertAlign w:val="baseline"/>
          <w:lang w:val="en-US" w:eastAsia="zh-CN" w:bidi="ar"/>
        </w:rPr>
      </w:pPr>
      <w:r>
        <w:rPr>
          <w:rFonts w:hint="eastAsia" w:ascii="Times New Roman" w:hAnsi="Times New Roman" w:eastAsia="宋体" w:cs="Times New Roman"/>
          <w:kern w:val="2"/>
          <w:sz w:val="24"/>
          <w:szCs w:val="24"/>
          <w:highlight w:val="none"/>
          <w:vertAlign w:val="baseline"/>
          <w:lang w:val="en-US" w:eastAsia="zh-CN" w:bidi="ar"/>
        </w:rPr>
        <w:t>（四）投标人通过线上、远程等方式提供技术支持，及时在群里解答相关人员的问题。</w:t>
      </w:r>
    </w:p>
    <w:p w14:paraId="6ACC935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五）提供重大变更现场支持服务。在项目质保期内，当用户需要对设备或软件进行相应变更时，投标人派遣工程师提供现场支持，协助用户做好重大变更的技术支持和规划工作，并做好重大变更后的技术支持保障工作。具体问题双方协商解决：如设备搬迁、系统改造与升级、设备扩容、与设备相关的其他重大变更。</w:t>
      </w:r>
    </w:p>
    <w:p w14:paraId="4DD2E82E">
      <w:pPr>
        <w:keepNext w:val="0"/>
        <w:keepLines w:val="0"/>
        <w:pageBreakBefore w:val="0"/>
        <w:widowControl w:val="0"/>
        <w:suppressLineNumbers w:val="0"/>
        <w:kinsoku/>
        <w:wordWrap/>
        <w:overflowPunct/>
        <w:topLinePunct w:val="0"/>
        <w:autoSpaceDE/>
        <w:autoSpaceDN/>
        <w:bidi w:val="0"/>
        <w:adjustRightIn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六）质保期内，对于所有处于技术服务范围内的系统，投标人根据采购人的需要为相关设备、软件和服务建立档案，记录设备详细配置、微码版本和运行信息、故障响应服务、巡检和预防性维护的详细资料，并向采购人使用部门和管理部门提交详实的服务报告、系统健康检查报告、技术培训报告等。</w:t>
      </w:r>
    </w:p>
    <w:p w14:paraId="3A93D6B7">
      <w:pPr>
        <w:pStyle w:val="9"/>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bookmarkStart w:id="0" w:name="_Toc456869935"/>
      <w:bookmarkStart w:id="1" w:name="_Toc425951545"/>
      <w:bookmarkStart w:id="2" w:name="_Toc456724221"/>
      <w:bookmarkStart w:id="3" w:name="_Toc420749677"/>
      <w:bookmarkStart w:id="4" w:name="_Toc444790682"/>
      <w:bookmarkStart w:id="5" w:name="_Toc456539372"/>
      <w:bookmarkStart w:id="6" w:name="_Toc426564239"/>
      <w:bookmarkStart w:id="7" w:name="_Toc456539531"/>
      <w:r>
        <w:rPr>
          <w:rFonts w:hint="eastAsia" w:ascii="宋体" w:hAnsi="宋体" w:cs="宋体"/>
          <w:b/>
          <w:color w:val="auto"/>
          <w:sz w:val="24"/>
          <w:szCs w:val="24"/>
          <w:lang w:val="en-US" w:eastAsia="zh-CN"/>
        </w:rPr>
        <w:t>7.5故障处理原则</w:t>
      </w:r>
      <w:bookmarkEnd w:id="0"/>
      <w:bookmarkEnd w:id="1"/>
      <w:bookmarkEnd w:id="2"/>
      <w:bookmarkEnd w:id="3"/>
      <w:bookmarkEnd w:id="4"/>
      <w:bookmarkEnd w:id="5"/>
      <w:bookmarkEnd w:id="6"/>
      <w:bookmarkEnd w:id="7"/>
    </w:p>
    <w:p w14:paraId="494DAA2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lang w:val="en-US" w:eastAsia="zh-CN" w:bidi="ar"/>
        </w:rPr>
      </w:pPr>
      <w:r>
        <w:rPr>
          <w:rFonts w:hint="eastAsia" w:ascii="Times New Roman" w:hAnsi="Times New Roman" w:eastAsia="宋体" w:cs="Times New Roman"/>
          <w:kern w:val="2"/>
          <w:sz w:val="24"/>
          <w:szCs w:val="24"/>
          <w:lang w:val="en-US" w:eastAsia="zh-CN" w:bidi="ar"/>
        </w:rPr>
        <w:t>投标人根据实际情况，在维护期间遵照如下故障处理原则：</w:t>
      </w:r>
    </w:p>
    <w:p w14:paraId="7D9B442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一）无推诿承诺：系统出现故障后，当用户根据故障情况分析后明确要求投标人提供现场抢修时，投标人不能以各种理由进行推诿，第一时间安排维修人员赶到用户现场提供支持服务，保证在用户要求的时间内到达现场配合工作。</w:t>
      </w:r>
    </w:p>
    <w:p w14:paraId="69990698">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二）响应方式的升级：为了保证最快解决问题，投标人在发生故障后首先采用电话等远程服务响应，协助故障诊断处理和提供有效解决方案。当确认远程无法有效解决、无法判断故障点的或确认为硬件故障的，投标人将马上提供现场抢修，在约定的时间内上门处理，尽快恢复正常使用。</w:t>
      </w:r>
    </w:p>
    <w:p w14:paraId="29F081AB">
      <w:pPr>
        <w:pStyle w:val="4"/>
        <w:keepNext w:val="0"/>
        <w:keepLines w:val="0"/>
        <w:pageBreakBefore w:val="0"/>
        <w:widowControl w:val="0"/>
        <w:suppressLineNumbers w:val="0"/>
        <w:kinsoku/>
        <w:wordWrap/>
        <w:overflowPunct/>
        <w:topLinePunct w:val="0"/>
        <w:autoSpaceDE/>
        <w:autoSpaceDN/>
        <w:bidi w:val="0"/>
        <w:adjustRightInd/>
        <w:snapToGrid/>
        <w:spacing w:beforeAutospacing="0" w:afterAutospacing="0" w:line="360" w:lineRule="auto"/>
        <w:ind w:left="0" w:leftChars="0" w:right="0" w:firstLine="480" w:firstLineChars="200"/>
        <w:jc w:val="both"/>
        <w:textAlignment w:val="auto"/>
        <w:rPr>
          <w:rFonts w:hint="eastAsia" w:ascii="Times New Roman" w:hAnsi="Times New Roman" w:eastAsia="宋体" w:cs="Times New Roman"/>
          <w:kern w:val="2"/>
          <w:sz w:val="24"/>
          <w:szCs w:val="24"/>
          <w:vertAlign w:val="baseline"/>
          <w:lang w:val="en-US" w:eastAsia="zh-CN" w:bidi="ar"/>
        </w:rPr>
      </w:pPr>
      <w:r>
        <w:rPr>
          <w:rFonts w:hint="eastAsia" w:ascii="Times New Roman" w:hAnsi="Times New Roman" w:eastAsia="宋体" w:cs="Times New Roman"/>
          <w:kern w:val="2"/>
          <w:sz w:val="24"/>
          <w:szCs w:val="24"/>
          <w:vertAlign w:val="baseline"/>
          <w:lang w:val="en-US" w:eastAsia="zh-CN" w:bidi="ar"/>
        </w:rPr>
        <w:t>（三）提供故障质保服务报告：在故障问题发生后，投标人在一周内向相关使用部门和管理部门提交详细的故障质保服务报告，包括服务时间、服务内容、操作步骤、建议等。</w:t>
      </w:r>
    </w:p>
    <w:p w14:paraId="4FD7550D">
      <w:pPr>
        <w:pStyle w:val="9"/>
        <w:keepNext w:val="0"/>
        <w:keepLines w:val="0"/>
        <w:pageBreakBefore w:val="0"/>
        <w:kinsoku/>
        <w:wordWrap/>
        <w:overflowPunct/>
        <w:topLinePunct w:val="0"/>
        <w:autoSpaceDE/>
        <w:autoSpaceDN/>
        <w:bidi w:val="0"/>
        <w:adjustRightInd/>
        <w:spacing w:line="360" w:lineRule="auto"/>
        <w:ind w:firstLine="482" w:firstLineChars="200"/>
        <w:rPr>
          <w:rFonts w:hint="default" w:ascii="宋体" w:hAnsi="宋体" w:cs="宋体"/>
          <w:b/>
          <w:color w:val="auto"/>
          <w:sz w:val="24"/>
          <w:szCs w:val="24"/>
          <w:lang w:val="en-US" w:eastAsia="zh-CN"/>
        </w:rPr>
      </w:pPr>
      <w:r>
        <w:rPr>
          <w:rFonts w:hint="eastAsia" w:ascii="宋体" w:hAnsi="宋体" w:cs="宋体"/>
          <w:b/>
          <w:color w:val="auto"/>
          <w:sz w:val="24"/>
          <w:szCs w:val="24"/>
          <w:lang w:val="en-US" w:eastAsia="zh-CN"/>
        </w:rPr>
        <w:t>8项目验收及付款</w:t>
      </w:r>
    </w:p>
    <w:p w14:paraId="67F86201">
      <w:pPr>
        <w:pStyle w:val="9"/>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r>
        <w:rPr>
          <w:rFonts w:hint="eastAsia" w:ascii="宋体" w:hAnsi="宋体" w:cs="宋体"/>
          <w:b/>
          <w:color w:val="auto"/>
          <w:sz w:val="24"/>
          <w:szCs w:val="24"/>
          <w:lang w:val="en-US" w:eastAsia="zh-CN"/>
        </w:rPr>
        <w:t>8.1项目验收</w:t>
      </w:r>
    </w:p>
    <w:p w14:paraId="46B42199">
      <w:pPr>
        <w:pStyle w:val="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eastAsia"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本项目采用整体验收的方式。</w:t>
      </w:r>
    </w:p>
    <w:p w14:paraId="79D3270F">
      <w:pPr>
        <w:pStyle w:val="3"/>
        <w:keepNext w:val="0"/>
        <w:keepLines w:val="0"/>
        <w:pageBreakBefore w:val="0"/>
        <w:widowControl/>
        <w:kinsoku/>
        <w:wordWrap/>
        <w:overflowPunct/>
        <w:topLinePunct w:val="0"/>
        <w:autoSpaceDE/>
        <w:autoSpaceDN/>
        <w:bidi w:val="0"/>
        <w:adjustRightInd/>
        <w:snapToGrid/>
        <w:spacing w:before="0" w:beforeLines="0" w:after="0" w:afterLines="0" w:line="360" w:lineRule="auto"/>
        <w:ind w:right="0" w:firstLine="480" w:firstLineChars="200"/>
        <w:textAlignment w:val="auto"/>
        <w:rPr>
          <w:rFonts w:hint="default" w:ascii="Times New Roman" w:hAnsi="Times New Roman" w:eastAsia="宋体" w:cs="Times New Roman"/>
          <w:color w:val="000000"/>
          <w:sz w:val="24"/>
          <w:szCs w:val="24"/>
          <w:highlight w:val="none"/>
          <w:lang w:val="en-US" w:eastAsia="zh-CN"/>
        </w:rPr>
      </w:pPr>
      <w:r>
        <w:rPr>
          <w:rFonts w:hint="eastAsia" w:ascii="Times New Roman" w:hAnsi="Times New Roman" w:eastAsia="宋体" w:cs="Times New Roman"/>
          <w:color w:val="000000"/>
          <w:sz w:val="24"/>
          <w:szCs w:val="24"/>
          <w:highlight w:val="none"/>
          <w:lang w:val="en-US" w:eastAsia="zh-CN"/>
        </w:rPr>
        <w:t>功能交付达到合同约定，</w:t>
      </w:r>
      <w:r>
        <w:rPr>
          <w:rFonts w:hint="default" w:ascii="Times New Roman" w:hAnsi="Times New Roman" w:eastAsia="宋体" w:cs="Times New Roman"/>
          <w:color w:val="000000"/>
          <w:sz w:val="24"/>
          <w:szCs w:val="24"/>
          <w:highlight w:val="none"/>
          <w:lang w:val="en-US" w:eastAsia="zh-CN"/>
        </w:rPr>
        <w:t>系统完成安装调试工作后</w:t>
      </w:r>
      <w:r>
        <w:rPr>
          <w:rFonts w:hint="eastAsia" w:ascii="Times New Roman" w:hAnsi="Times New Roman" w:eastAsia="宋体" w:cs="Times New Roman"/>
          <w:color w:val="000000"/>
          <w:sz w:val="24"/>
          <w:szCs w:val="24"/>
          <w:highlight w:val="none"/>
          <w:lang w:val="en-US" w:eastAsia="zh-CN"/>
        </w:rPr>
        <w:t>，中标人向采购人书面提交预验收申请及</w:t>
      </w:r>
      <w:r>
        <w:rPr>
          <w:rFonts w:hint="eastAsia" w:ascii="Times New Roman" w:hAnsi="Times New Roman" w:eastAsia="宋体" w:cs="Times New Roman"/>
          <w:sz w:val="24"/>
          <w:szCs w:val="24"/>
          <w:highlight w:val="none"/>
        </w:rPr>
        <w:t>相关文档</w:t>
      </w:r>
      <w:r>
        <w:rPr>
          <w:rFonts w:hint="eastAsia" w:ascii="Times New Roman" w:hAnsi="Times New Roman" w:eastAsia="宋体" w:cs="Times New Roman"/>
          <w:sz w:val="24"/>
          <w:szCs w:val="24"/>
          <w:highlight w:val="none"/>
          <w:lang w:eastAsia="zh-CN"/>
        </w:rPr>
        <w:t>。</w:t>
      </w:r>
      <w:r>
        <w:rPr>
          <w:rFonts w:hint="eastAsia" w:ascii="Times New Roman" w:hAnsi="Times New Roman" w:eastAsia="宋体" w:cs="Times New Roman"/>
          <w:sz w:val="24"/>
          <w:szCs w:val="24"/>
          <w:highlight w:val="none"/>
          <w:lang w:val="en-US" w:eastAsia="zh-CN"/>
        </w:rPr>
        <w:t>预验收通过后进入试运行阶段，系统稳定试运行三个月后，</w:t>
      </w:r>
      <w:r>
        <w:rPr>
          <w:rFonts w:hint="default" w:ascii="Times New Roman" w:hAnsi="Times New Roman" w:eastAsia="宋体" w:cs="Times New Roman"/>
          <w:color w:val="000000"/>
          <w:sz w:val="24"/>
          <w:szCs w:val="24"/>
          <w:highlight w:val="none"/>
          <w:lang w:val="en-US" w:eastAsia="zh-CN"/>
        </w:rPr>
        <w:t>中标人向采购人书面提</w:t>
      </w:r>
      <w:r>
        <w:rPr>
          <w:rFonts w:hint="default" w:ascii="Times New Roman" w:hAnsi="Times New Roman" w:eastAsia="宋体" w:cs="Times New Roman"/>
          <w:color w:val="000000"/>
          <w:sz w:val="24"/>
          <w:szCs w:val="24"/>
          <w:highlight w:val="none"/>
          <w:lang w:eastAsia="zh-CN"/>
        </w:rPr>
        <w:t>交</w:t>
      </w:r>
      <w:r>
        <w:rPr>
          <w:rFonts w:hint="eastAsia" w:ascii="Times New Roman" w:hAnsi="Times New Roman" w:eastAsia="宋体" w:cs="Times New Roman"/>
          <w:color w:val="000000"/>
          <w:sz w:val="24"/>
          <w:szCs w:val="24"/>
          <w:highlight w:val="none"/>
          <w:lang w:val="en-US" w:eastAsia="zh-CN"/>
        </w:rPr>
        <w:t>验收</w:t>
      </w:r>
      <w:r>
        <w:rPr>
          <w:rFonts w:hint="default" w:ascii="Times New Roman" w:hAnsi="Times New Roman" w:eastAsia="宋体" w:cs="Times New Roman"/>
          <w:color w:val="000000"/>
          <w:sz w:val="24"/>
          <w:szCs w:val="24"/>
          <w:highlight w:val="none"/>
          <w:lang w:val="en-US" w:eastAsia="zh-CN"/>
        </w:rPr>
        <w:t>申请</w:t>
      </w:r>
      <w:r>
        <w:rPr>
          <w:rFonts w:hint="default" w:ascii="Times New Roman" w:hAnsi="Times New Roman" w:eastAsia="宋体" w:cs="Times New Roman"/>
          <w:color w:val="000000"/>
          <w:sz w:val="24"/>
          <w:szCs w:val="24"/>
          <w:highlight w:val="none"/>
          <w:lang w:eastAsia="zh-CN"/>
        </w:rPr>
        <w:t>及相关文档</w:t>
      </w:r>
      <w:r>
        <w:rPr>
          <w:rFonts w:hint="default" w:ascii="Times New Roman" w:hAnsi="Times New Roman" w:eastAsia="宋体" w:cs="Times New Roman"/>
          <w:color w:val="000000"/>
          <w:sz w:val="24"/>
          <w:szCs w:val="24"/>
          <w:highlight w:val="none"/>
          <w:lang w:val="en-US" w:eastAsia="zh-CN"/>
        </w:rPr>
        <w:t>，由采购人邀请院外专家对项目进行验收。</w:t>
      </w:r>
    </w:p>
    <w:p w14:paraId="178346BA">
      <w:pPr>
        <w:pStyle w:val="9"/>
        <w:keepNext w:val="0"/>
        <w:keepLines w:val="0"/>
        <w:pageBreakBefore w:val="0"/>
        <w:kinsoku/>
        <w:wordWrap/>
        <w:overflowPunct/>
        <w:topLinePunct w:val="0"/>
        <w:autoSpaceDE/>
        <w:autoSpaceDN/>
        <w:bidi w:val="0"/>
        <w:adjustRightInd/>
        <w:spacing w:line="360" w:lineRule="auto"/>
        <w:ind w:firstLine="482" w:firstLineChars="200"/>
        <w:rPr>
          <w:rFonts w:hint="eastAsia" w:ascii="宋体" w:hAnsi="宋体" w:cs="宋体"/>
          <w:b/>
          <w:color w:val="auto"/>
          <w:sz w:val="24"/>
          <w:szCs w:val="24"/>
          <w:lang w:val="en-US" w:eastAsia="zh-CN"/>
        </w:rPr>
      </w:pPr>
      <w:bookmarkStart w:id="8" w:name="_GoBack"/>
      <w:r>
        <w:rPr>
          <w:rFonts w:hint="eastAsia" w:ascii="宋体" w:hAnsi="宋体" w:cs="宋体"/>
          <w:b/>
          <w:color w:val="auto"/>
          <w:sz w:val="24"/>
          <w:szCs w:val="24"/>
          <w:lang w:val="en-US" w:eastAsia="zh-CN"/>
        </w:rPr>
        <w:t>8.2付款方式</w:t>
      </w:r>
    </w:p>
    <w:bookmarkEnd w:id="8"/>
    <w:p w14:paraId="4C5830B6">
      <w:pPr>
        <w:keepNext w:val="0"/>
        <w:keepLines w:val="0"/>
        <w:pageBreakBefore w:val="0"/>
        <w:kinsoku/>
        <w:wordWrap/>
        <w:overflowPunct/>
        <w:topLinePunct w:val="0"/>
        <w:autoSpaceDE/>
        <w:autoSpaceDN/>
        <w:bidi w:val="0"/>
        <w:adjustRightInd w:val="0"/>
        <w:snapToGrid w:val="0"/>
        <w:spacing w:line="360" w:lineRule="auto"/>
        <w:ind w:right="0" w:firstLine="480" w:firstLineChars="20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本项目所有款项均以人民币支付，项目合同总价以中标价为准。付款方式如下：</w:t>
      </w:r>
    </w:p>
    <w:p w14:paraId="7E031183">
      <w:pPr>
        <w:keepNext w:val="0"/>
        <w:keepLines w:val="0"/>
        <w:pageBreakBefore w:val="0"/>
        <w:numPr>
          <w:ilvl w:val="0"/>
          <w:numId w:val="0"/>
        </w:numPr>
        <w:kinsoku/>
        <w:wordWrap/>
        <w:overflowPunct/>
        <w:topLinePunct w:val="0"/>
        <w:autoSpaceDE/>
        <w:autoSpaceDN/>
        <w:bidi w:val="0"/>
        <w:spacing w:line="360" w:lineRule="auto"/>
        <w:ind w:right="0" w:rightChars="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功能交付达到合同约定，系统完成安装调试工作后，中标人向采购人书面提交预验收申请及相关文档。经采购人预验收合格后，凭中标人提供的正式有效的含税发票，采购人办理相关手续后，支付合同总额的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30 </w:t>
      </w:r>
      <w:r>
        <w:rPr>
          <w:rFonts w:hint="eastAsia" w:ascii="Times New Roman" w:hAnsi="Times New Roman" w:eastAsia="宋体" w:cs="Times New Roman"/>
          <w:sz w:val="24"/>
          <w:szCs w:val="24"/>
          <w:lang w:val="en-US" w:eastAsia="zh-CN"/>
        </w:rPr>
        <w:t>%；</w:t>
      </w:r>
    </w:p>
    <w:p w14:paraId="5F9F5F9D">
      <w:pPr>
        <w:keepNext w:val="0"/>
        <w:keepLines w:val="0"/>
        <w:pageBreakBefore w:val="0"/>
        <w:kinsoku/>
        <w:wordWrap/>
        <w:overflowPunct/>
        <w:topLinePunct w:val="0"/>
        <w:autoSpaceDE/>
        <w:autoSpaceDN/>
        <w:bidi w:val="0"/>
        <w:spacing w:line="360" w:lineRule="auto"/>
        <w:ind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预验收通过后进入试运行阶段，系统稳定试运行三个月后，中标人向采购人书面提交验收申请及相关文档，经院外专家验收合格后，凭中标人提供的正式有效的含税发票，采购人办理相关手续后，支付合同总额的</w:t>
      </w:r>
      <w:r>
        <w:rPr>
          <w:rFonts w:hint="eastAsia" w:ascii="Times New Roman" w:hAnsi="Times New Roman" w:eastAsia="宋体" w:cs="Times New Roman"/>
          <w:sz w:val="24"/>
          <w:szCs w:val="24"/>
          <w:u w:val="single"/>
          <w:lang w:val="en-US" w:eastAsia="zh-CN"/>
        </w:rPr>
        <w:t xml:space="preserve">65 </w:t>
      </w:r>
      <w:r>
        <w:rPr>
          <w:rFonts w:hint="eastAsia" w:ascii="Times New Roman" w:hAnsi="Times New Roman" w:eastAsia="宋体" w:cs="Times New Roman"/>
          <w:sz w:val="24"/>
          <w:szCs w:val="24"/>
          <w:lang w:val="en-US" w:eastAsia="zh-CN"/>
        </w:rPr>
        <w:t>%；</w:t>
      </w:r>
    </w:p>
    <w:p w14:paraId="3EB6114F">
      <w:pPr>
        <w:keepNext w:val="0"/>
        <w:keepLines w:val="0"/>
        <w:pageBreakBefore w:val="0"/>
        <w:kinsoku/>
        <w:wordWrap/>
        <w:overflowPunct/>
        <w:topLinePunct w:val="0"/>
        <w:autoSpaceDE/>
        <w:autoSpaceDN/>
        <w:bidi w:val="0"/>
        <w:adjustRightInd/>
        <w:spacing w:line="360" w:lineRule="auto"/>
        <w:ind w:left="0" w:leftChars="0" w:right="0" w:firstLine="480" w:firstLineChars="200"/>
        <w:textAlignment w:val="auto"/>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3、剩余合同总额的</w:t>
      </w:r>
      <w:r>
        <w:rPr>
          <w:rFonts w:hint="eastAsia" w:ascii="Times New Roman" w:hAnsi="Times New Roman" w:eastAsia="宋体" w:cs="Times New Roman"/>
          <w:sz w:val="24"/>
          <w:szCs w:val="24"/>
          <w:u w:val="single"/>
          <w:lang w:val="en-US" w:eastAsia="zh-CN"/>
        </w:rPr>
        <w:t>5</w:t>
      </w:r>
      <w:r>
        <w:rPr>
          <w:rFonts w:hint="eastAsia" w:ascii="Times New Roman" w:hAnsi="Times New Roman" w:eastAsia="宋体" w:cs="Times New Roman"/>
          <w:sz w:val="24"/>
          <w:szCs w:val="24"/>
          <w:lang w:val="en-US" w:eastAsia="zh-CN"/>
        </w:rPr>
        <w:t>%合同款转为质保金，质保期结束后，采购人相关部门对中标人质保服务进行评价（详见附件1：</w:t>
      </w:r>
      <w:r>
        <w:rPr>
          <w:rFonts w:hint="eastAsia" w:ascii="Times New Roman" w:hAnsi="Times New Roman" w:eastAsia="宋体" w:cs="Times New Roman"/>
          <w:snapToGrid w:val="0"/>
          <w:color w:val="000000"/>
          <w:kern w:val="0"/>
          <w:sz w:val="24"/>
          <w:szCs w:val="24"/>
          <w:lang w:val="en-US" w:eastAsia="zh-CN" w:bidi="ar-SA"/>
        </w:rPr>
        <w:t>质保期评价表</w:t>
      </w:r>
      <w:r>
        <w:rPr>
          <w:rFonts w:hint="eastAsia" w:ascii="Times New Roman" w:hAnsi="Times New Roman" w:eastAsia="宋体" w:cs="Times New Roman"/>
          <w:sz w:val="24"/>
          <w:szCs w:val="24"/>
          <w:lang w:val="en-US" w:eastAsia="zh-CN"/>
        </w:rPr>
        <w:t>），根据评价结果凭中标人提供的正式有效的含税发票，采购人办理相关手续后，支付剩余合同款项。投标人质保服务不达标，采购人有权拒付或扣减投标人质保金。</w:t>
      </w:r>
    </w:p>
    <w:p w14:paraId="178973B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维保服务评价结果为优秀，全额支付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3B20BBE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维保评价结果为良好，支付85%</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5735395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0" w:right="0" w:firstLine="475"/>
        <w:jc w:val="both"/>
        <w:textAlignment w:val="baseline"/>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vertAlign w:val="baseline"/>
        </w:rPr>
        <w:t>维保评价结果为合格，支付70%</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vertAlign w:val="baseline"/>
        </w:rPr>
        <w:t>；</w:t>
      </w:r>
    </w:p>
    <w:p w14:paraId="761323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0" w:afterAutospacing="0" w:line="240" w:lineRule="atLeast"/>
        <w:ind w:left="397" w:right="0" w:firstLine="0"/>
        <w:rPr>
          <w:rFonts w:hint="eastAsia" w:ascii="微软雅黑" w:hAnsi="微软雅黑" w:eastAsia="微软雅黑" w:cs="微软雅黑"/>
          <w:i w:val="0"/>
          <w:iCs w:val="0"/>
          <w:caps w:val="0"/>
          <w:color w:val="000000"/>
          <w:spacing w:val="0"/>
          <w:sz w:val="27"/>
          <w:szCs w:val="27"/>
        </w:rPr>
      </w:pPr>
      <w:r>
        <w:rPr>
          <w:rFonts w:ascii="宋体" w:hAnsi="宋体" w:eastAsia="宋体" w:cs="宋体"/>
          <w:i w:val="0"/>
          <w:iCs w:val="0"/>
          <w:caps w:val="0"/>
          <w:color w:val="000000"/>
          <w:spacing w:val="0"/>
          <w:sz w:val="24"/>
          <w:szCs w:val="24"/>
        </w:rPr>
        <w:t>维保评价结果为不合格，</w:t>
      </w:r>
      <w:r>
        <w:rPr>
          <w:rFonts w:hint="eastAsia" w:ascii="宋体" w:hAnsi="宋体" w:eastAsia="宋体" w:cs="宋体"/>
          <w:i w:val="0"/>
          <w:iCs w:val="0"/>
          <w:caps w:val="0"/>
          <w:color w:val="000000"/>
          <w:spacing w:val="0"/>
          <w:sz w:val="24"/>
          <w:szCs w:val="24"/>
          <w:lang w:val="en-US" w:eastAsia="zh-CN"/>
        </w:rPr>
        <w:t>采购人</w:t>
      </w:r>
      <w:r>
        <w:rPr>
          <w:rFonts w:ascii="宋体" w:hAnsi="宋体" w:eastAsia="宋体" w:cs="宋体"/>
          <w:i w:val="0"/>
          <w:iCs w:val="0"/>
          <w:caps w:val="0"/>
          <w:color w:val="000000"/>
          <w:spacing w:val="0"/>
          <w:sz w:val="24"/>
          <w:szCs w:val="24"/>
        </w:rPr>
        <w:t>有权拒付</w:t>
      </w:r>
      <w:r>
        <w:rPr>
          <w:rFonts w:hint="eastAsia" w:ascii="宋体" w:hAnsi="宋体" w:eastAsia="宋体" w:cs="宋体"/>
          <w:i w:val="0"/>
          <w:iCs w:val="0"/>
          <w:caps w:val="0"/>
          <w:color w:val="000000"/>
          <w:spacing w:val="0"/>
          <w:sz w:val="24"/>
          <w:szCs w:val="24"/>
          <w:vertAlign w:val="baseline"/>
          <w:lang w:val="en-US" w:eastAsia="zh-CN"/>
        </w:rPr>
        <w:t>质保金</w:t>
      </w:r>
      <w:r>
        <w:rPr>
          <w:rFonts w:ascii="宋体" w:hAnsi="宋体" w:eastAsia="宋体" w:cs="宋体"/>
          <w:i w:val="0"/>
          <w:iCs w:val="0"/>
          <w:caps w:val="0"/>
          <w:color w:val="000000"/>
          <w:spacing w:val="0"/>
          <w:sz w:val="24"/>
          <w:szCs w:val="24"/>
        </w:rPr>
        <w:t>。</w:t>
      </w:r>
    </w:p>
    <w:p w14:paraId="39B6E9D4">
      <w:pPr>
        <w:rPr>
          <w:rFonts w:hint="eastAsia" w:ascii="宋体" w:hAnsi="宋体" w:eastAsia="宋体"/>
        </w:rPr>
      </w:pPr>
      <w:r>
        <w:rPr>
          <w:rFonts w:hint="eastAsia" w:ascii="宋体" w:hAnsi="宋体" w:eastAsia="宋体"/>
        </w:rPr>
        <w:br w:type="page"/>
      </w:r>
    </w:p>
    <w:p w14:paraId="7CE0A6EF">
      <w:pPr>
        <w:bidi w:val="0"/>
        <w:jc w:val="left"/>
        <w:rPr>
          <w:rFonts w:hint="default" w:ascii="Times New Roman" w:hAnsi="Times New Roman" w:eastAsia="宋体" w:cs="Times New Roman"/>
          <w:snapToGrid w:val="0"/>
          <w:color w:val="000000"/>
          <w:kern w:val="0"/>
          <w:sz w:val="24"/>
          <w:szCs w:val="24"/>
          <w:lang w:val="en-US" w:eastAsia="zh-CN" w:bidi="ar-SA"/>
        </w:rPr>
      </w:pPr>
      <w:r>
        <w:rPr>
          <w:rFonts w:hint="eastAsia" w:ascii="Times New Roman" w:hAnsi="Times New Roman" w:eastAsia="宋体" w:cs="Times New Roman"/>
          <w:snapToGrid w:val="0"/>
          <w:color w:val="000000"/>
          <w:kern w:val="0"/>
          <w:sz w:val="24"/>
          <w:szCs w:val="24"/>
          <w:lang w:val="en-US" w:eastAsia="zh-CN" w:bidi="ar-SA"/>
        </w:rPr>
        <w:t>附件1：</w:t>
      </w:r>
    </w:p>
    <w:p w14:paraId="218A47CF">
      <w:pPr>
        <w:bidi w:val="0"/>
        <w:jc w:val="center"/>
        <w:rPr>
          <w:rFonts w:hint="default" w:ascii="宋体" w:hAnsi="宋体" w:cs="宋体"/>
          <w:sz w:val="28"/>
          <w:szCs w:val="28"/>
          <w:lang w:val="en-US" w:eastAsia="zh-CN"/>
        </w:rPr>
      </w:pPr>
      <w:r>
        <w:rPr>
          <w:rFonts w:hint="eastAsia" w:ascii="Times New Roman" w:hAnsi="Times New Roman" w:eastAsia="宋体" w:cs="Times New Roman"/>
          <w:snapToGrid w:val="0"/>
          <w:color w:val="000000"/>
          <w:kern w:val="0"/>
          <w:sz w:val="24"/>
          <w:szCs w:val="24"/>
          <w:lang w:val="en-US" w:eastAsia="zh-CN" w:bidi="ar-SA"/>
        </w:rPr>
        <w:t>海南医科大学第二附属医院临床研究管理系统质保期评价表</w:t>
      </w:r>
    </w:p>
    <w:tbl>
      <w:tblPr>
        <w:tblStyle w:val="6"/>
        <w:tblW w:w="897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722"/>
        <w:gridCol w:w="1991"/>
        <w:gridCol w:w="6259"/>
      </w:tblGrid>
      <w:tr w14:paraId="08C68F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1" w:hRule="atLeast"/>
        </w:trPr>
        <w:tc>
          <w:tcPr>
            <w:tcW w:w="2713" w:type="dxa"/>
            <w:gridSpan w:val="2"/>
            <w:vAlign w:val="center"/>
          </w:tcPr>
          <w:p w14:paraId="2EEBF62A">
            <w:pPr>
              <w:pStyle w:val="2"/>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承建供应商</w:t>
            </w:r>
          </w:p>
        </w:tc>
        <w:tc>
          <w:tcPr>
            <w:tcW w:w="6259" w:type="dxa"/>
            <w:vAlign w:val="center"/>
          </w:tcPr>
          <w:p w14:paraId="6DC22359">
            <w:pPr>
              <w:pStyle w:val="2"/>
              <w:keepNext w:val="0"/>
              <w:keepLines w:val="0"/>
              <w:pageBreakBefore w:val="0"/>
              <w:widowControl/>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p>
        </w:tc>
      </w:tr>
      <w:tr w14:paraId="3582CF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40" w:hRule="atLeast"/>
        </w:trPr>
        <w:tc>
          <w:tcPr>
            <w:tcW w:w="8972" w:type="dxa"/>
            <w:gridSpan w:val="3"/>
            <w:vAlign w:val="center"/>
          </w:tcPr>
          <w:p w14:paraId="7CD5469E">
            <w:pPr>
              <w:pStyle w:val="2"/>
              <w:keepNext w:val="0"/>
              <w:keepLines w:val="0"/>
              <w:pageBreakBefore w:val="0"/>
              <w:widowControl/>
              <w:tabs>
                <w:tab w:val="left" w:pos="420"/>
              </w:tabs>
              <w:kinsoku/>
              <w:wordWrap/>
              <w:overflowPunct/>
              <w:topLinePunct w:val="0"/>
              <w:autoSpaceDE/>
              <w:autoSpaceDN/>
              <w:bidi w:val="0"/>
              <w:adjustRightInd/>
              <w:snapToGrid/>
              <w:spacing w:after="0" w:line="36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评分规则：本评价表10个评分项，每个评分项0~10分，满分合计100分。各评分项得分合计≤70，本项目质保服务不合格，不予支付质保金；70＜各评分项得分合计≤80，项目质保服务合格，支付70%质保金；80＜各评分项得分合计≤90，质保服务良好，支付85%质保金；90＜各评分项得分合计≤100，质保服务优秀，支付100%质保金；</w:t>
            </w:r>
          </w:p>
        </w:tc>
      </w:tr>
      <w:tr w14:paraId="0329E25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72" w:hRule="atLeast"/>
        </w:trPr>
        <w:tc>
          <w:tcPr>
            <w:tcW w:w="722" w:type="dxa"/>
            <w:vAlign w:val="center"/>
          </w:tcPr>
          <w:p w14:paraId="6EC8FA44">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序号</w:t>
            </w:r>
          </w:p>
        </w:tc>
        <w:tc>
          <w:tcPr>
            <w:tcW w:w="1991" w:type="dxa"/>
            <w:vAlign w:val="center"/>
          </w:tcPr>
          <w:p w14:paraId="7BE3644C">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评价维度</w:t>
            </w:r>
          </w:p>
        </w:tc>
        <w:tc>
          <w:tcPr>
            <w:tcW w:w="6259" w:type="dxa"/>
          </w:tcPr>
          <w:p w14:paraId="40368589">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rPr>
              <w:t>评价</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各评分项0~10分</w:t>
            </w:r>
            <w:r>
              <w:rPr>
                <w:rFonts w:hint="eastAsia" w:ascii="宋体" w:hAnsi="宋体" w:eastAsia="宋体" w:cs="宋体"/>
                <w:sz w:val="21"/>
                <w:szCs w:val="21"/>
                <w:lang w:eastAsia="zh-CN"/>
              </w:rPr>
              <w:t>）</w:t>
            </w:r>
          </w:p>
        </w:tc>
      </w:tr>
      <w:tr w14:paraId="1772482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6F75B2C">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991" w:type="dxa"/>
            <w:vAlign w:val="top"/>
          </w:tcPr>
          <w:p w14:paraId="0BE0704B">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系统安全性</w:t>
            </w:r>
          </w:p>
        </w:tc>
        <w:tc>
          <w:tcPr>
            <w:tcW w:w="6259" w:type="dxa"/>
            <w:vAlign w:val="top"/>
          </w:tcPr>
          <w:p w14:paraId="2E18F355">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F99475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1DF75D75">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2</w:t>
            </w:r>
          </w:p>
        </w:tc>
        <w:tc>
          <w:tcPr>
            <w:tcW w:w="1991" w:type="dxa"/>
            <w:vAlign w:val="top"/>
          </w:tcPr>
          <w:p w14:paraId="40BD81D8">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系统稳定性</w:t>
            </w:r>
          </w:p>
        </w:tc>
        <w:tc>
          <w:tcPr>
            <w:tcW w:w="6259" w:type="dxa"/>
            <w:vAlign w:val="top"/>
          </w:tcPr>
          <w:p w14:paraId="3E46B5F5">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2095F6D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29C6BF90">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3</w:t>
            </w:r>
          </w:p>
        </w:tc>
        <w:tc>
          <w:tcPr>
            <w:tcW w:w="1991" w:type="dxa"/>
            <w:vAlign w:val="top"/>
          </w:tcPr>
          <w:p w14:paraId="35746FE3">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系统流畅性</w:t>
            </w:r>
          </w:p>
        </w:tc>
        <w:tc>
          <w:tcPr>
            <w:tcW w:w="6259" w:type="dxa"/>
            <w:vAlign w:val="top"/>
          </w:tcPr>
          <w:p w14:paraId="4C9BFD02">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5F168E2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FAFFA2B">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4</w:t>
            </w:r>
          </w:p>
        </w:tc>
        <w:tc>
          <w:tcPr>
            <w:tcW w:w="1991" w:type="dxa"/>
            <w:vAlign w:val="top"/>
          </w:tcPr>
          <w:p w14:paraId="3E63905B">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系统连续性</w:t>
            </w:r>
          </w:p>
        </w:tc>
        <w:tc>
          <w:tcPr>
            <w:tcW w:w="6259" w:type="dxa"/>
            <w:vAlign w:val="top"/>
          </w:tcPr>
          <w:p w14:paraId="3DD97207">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29391B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77094A4D">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5</w:t>
            </w:r>
          </w:p>
        </w:tc>
        <w:tc>
          <w:tcPr>
            <w:tcW w:w="1991" w:type="dxa"/>
            <w:vAlign w:val="top"/>
          </w:tcPr>
          <w:p w14:paraId="7755BC48">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平均无故障时间</w:t>
            </w:r>
          </w:p>
        </w:tc>
        <w:tc>
          <w:tcPr>
            <w:tcW w:w="6259" w:type="dxa"/>
            <w:vAlign w:val="top"/>
          </w:tcPr>
          <w:p w14:paraId="158F33CE">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63546F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5160EB2E">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6</w:t>
            </w:r>
          </w:p>
        </w:tc>
        <w:tc>
          <w:tcPr>
            <w:tcW w:w="1991" w:type="dxa"/>
            <w:vAlign w:val="top"/>
          </w:tcPr>
          <w:p w14:paraId="5D73A7A0">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故障响应时间</w:t>
            </w:r>
          </w:p>
        </w:tc>
        <w:tc>
          <w:tcPr>
            <w:tcW w:w="6259" w:type="dxa"/>
            <w:vAlign w:val="top"/>
          </w:tcPr>
          <w:p w14:paraId="50C22ED0">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187C4AE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464E14F1">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7</w:t>
            </w:r>
          </w:p>
        </w:tc>
        <w:tc>
          <w:tcPr>
            <w:tcW w:w="1991" w:type="dxa"/>
            <w:vAlign w:val="top"/>
          </w:tcPr>
          <w:p w14:paraId="607A8AF6">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故障恢复速度</w:t>
            </w:r>
          </w:p>
        </w:tc>
        <w:tc>
          <w:tcPr>
            <w:tcW w:w="6259" w:type="dxa"/>
            <w:vAlign w:val="top"/>
          </w:tcPr>
          <w:p w14:paraId="3762B5B3">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C80351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35E214F">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8</w:t>
            </w:r>
          </w:p>
        </w:tc>
        <w:tc>
          <w:tcPr>
            <w:tcW w:w="1991" w:type="dxa"/>
            <w:vAlign w:val="top"/>
          </w:tcPr>
          <w:p w14:paraId="057E3993">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故障改进评价</w:t>
            </w:r>
          </w:p>
        </w:tc>
        <w:tc>
          <w:tcPr>
            <w:tcW w:w="6259" w:type="dxa"/>
            <w:vAlign w:val="top"/>
          </w:tcPr>
          <w:p w14:paraId="3A3BF9A1">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4A41E35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352A3F42">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9</w:t>
            </w:r>
          </w:p>
        </w:tc>
        <w:tc>
          <w:tcPr>
            <w:tcW w:w="1991" w:type="dxa"/>
            <w:vAlign w:val="top"/>
          </w:tcPr>
          <w:p w14:paraId="5D48DC08">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系统日常维护</w:t>
            </w:r>
          </w:p>
        </w:tc>
        <w:tc>
          <w:tcPr>
            <w:tcW w:w="6259" w:type="dxa"/>
            <w:vAlign w:val="top"/>
          </w:tcPr>
          <w:p w14:paraId="686567C6">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7675F2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722" w:type="dxa"/>
            <w:vAlign w:val="top"/>
          </w:tcPr>
          <w:p w14:paraId="4BA9DDFF">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r>
              <w:rPr>
                <w:rFonts w:hint="eastAsia" w:ascii="宋体" w:hAnsi="宋体" w:eastAsia="宋体" w:cs="宋体"/>
                <w:sz w:val="21"/>
                <w:szCs w:val="21"/>
              </w:rPr>
              <w:t>10</w:t>
            </w:r>
          </w:p>
        </w:tc>
        <w:tc>
          <w:tcPr>
            <w:tcW w:w="1991" w:type="dxa"/>
            <w:vAlign w:val="top"/>
          </w:tcPr>
          <w:p w14:paraId="4A376F9E">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日常需求响应</w:t>
            </w:r>
          </w:p>
        </w:tc>
        <w:tc>
          <w:tcPr>
            <w:tcW w:w="6259" w:type="dxa"/>
            <w:vAlign w:val="top"/>
          </w:tcPr>
          <w:p w14:paraId="64DDE9D6">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652BBDB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420" w:hRule="atLeast"/>
        </w:trPr>
        <w:tc>
          <w:tcPr>
            <w:tcW w:w="2713" w:type="dxa"/>
            <w:gridSpan w:val="2"/>
            <w:vAlign w:val="top"/>
          </w:tcPr>
          <w:p w14:paraId="2E002562">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合计</w:t>
            </w:r>
          </w:p>
        </w:tc>
        <w:tc>
          <w:tcPr>
            <w:tcW w:w="6259" w:type="dxa"/>
            <w:vAlign w:val="top"/>
          </w:tcPr>
          <w:p w14:paraId="7F17D054">
            <w:pPr>
              <w:pStyle w:val="2"/>
              <w:keepNext w:val="0"/>
              <w:keepLines w:val="0"/>
              <w:pageBreakBefore w:val="0"/>
              <w:widowControl w:val="0"/>
              <w:tabs>
                <w:tab w:val="left" w:pos="420"/>
              </w:tabs>
              <w:kinsoku/>
              <w:wordWrap/>
              <w:overflowPunct/>
              <w:topLinePunct w:val="0"/>
              <w:autoSpaceDE/>
              <w:autoSpaceDN/>
              <w:bidi w:val="0"/>
              <w:adjustRightInd/>
              <w:snapToGrid/>
              <w:spacing w:after="0" w:line="240" w:lineRule="auto"/>
              <w:ind w:left="0"/>
              <w:jc w:val="center"/>
              <w:textAlignment w:val="auto"/>
              <w:rPr>
                <w:rFonts w:hint="eastAsia" w:ascii="宋体" w:hAnsi="宋体" w:eastAsia="宋体" w:cs="宋体"/>
                <w:sz w:val="21"/>
                <w:szCs w:val="21"/>
              </w:rPr>
            </w:pPr>
          </w:p>
        </w:tc>
      </w:tr>
      <w:tr w14:paraId="022DB0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628" w:hRule="atLeast"/>
        </w:trPr>
        <w:tc>
          <w:tcPr>
            <w:tcW w:w="8972" w:type="dxa"/>
            <w:gridSpan w:val="3"/>
          </w:tcPr>
          <w:p w14:paraId="05C638E8">
            <w:pPr>
              <w:pStyle w:val="2"/>
              <w:widowControl w:val="0"/>
              <w:tabs>
                <w:tab w:val="left" w:pos="420"/>
              </w:tabs>
              <w:spacing w:before="87"/>
              <w:ind w:left="0"/>
              <w:jc w:val="both"/>
              <w:rPr>
                <w:rFonts w:hint="eastAsia" w:ascii="宋体" w:hAnsi="宋体" w:eastAsia="宋体" w:cs="宋体"/>
                <w:sz w:val="21"/>
                <w:szCs w:val="21"/>
              </w:rPr>
            </w:pPr>
            <w:r>
              <w:rPr>
                <w:rFonts w:hint="eastAsia" w:ascii="宋体" w:hAnsi="宋体" w:eastAsia="宋体" w:cs="宋体"/>
                <w:sz w:val="21"/>
                <w:szCs w:val="21"/>
              </w:rPr>
              <w:t>评价意见：</w:t>
            </w:r>
          </w:p>
          <w:p w14:paraId="6C2955EB">
            <w:pPr>
              <w:pStyle w:val="2"/>
              <w:widowControl w:val="0"/>
              <w:tabs>
                <w:tab w:val="left" w:pos="420"/>
              </w:tabs>
              <w:spacing w:before="87"/>
              <w:ind w:left="0"/>
              <w:jc w:val="both"/>
              <w:rPr>
                <w:rFonts w:hint="eastAsia" w:ascii="宋体" w:hAnsi="宋体" w:eastAsia="宋体" w:cs="宋体"/>
                <w:sz w:val="21"/>
                <w:szCs w:val="21"/>
              </w:rPr>
            </w:pPr>
          </w:p>
          <w:p w14:paraId="7CFDF439">
            <w:pPr>
              <w:pStyle w:val="2"/>
              <w:widowControl w:val="0"/>
              <w:tabs>
                <w:tab w:val="left" w:pos="420"/>
              </w:tabs>
              <w:spacing w:before="87"/>
              <w:ind w:left="0"/>
              <w:jc w:val="both"/>
              <w:rPr>
                <w:rFonts w:hint="eastAsia" w:ascii="宋体" w:hAnsi="宋体" w:eastAsia="宋体" w:cs="宋体"/>
                <w:sz w:val="21"/>
                <w:szCs w:val="21"/>
              </w:rPr>
            </w:pPr>
          </w:p>
          <w:p w14:paraId="644E7F18">
            <w:pPr>
              <w:pStyle w:val="2"/>
              <w:widowControl w:val="0"/>
              <w:tabs>
                <w:tab w:val="left" w:pos="420"/>
              </w:tabs>
              <w:spacing w:before="87"/>
              <w:ind w:left="0"/>
              <w:jc w:val="both"/>
              <w:rPr>
                <w:rFonts w:hint="eastAsia" w:ascii="宋体" w:hAnsi="宋体" w:eastAsia="宋体" w:cs="宋体"/>
                <w:sz w:val="21"/>
                <w:szCs w:val="21"/>
              </w:rPr>
            </w:pPr>
          </w:p>
          <w:p w14:paraId="3345E572">
            <w:pPr>
              <w:pStyle w:val="2"/>
              <w:widowControl w:val="0"/>
              <w:tabs>
                <w:tab w:val="left" w:pos="420"/>
              </w:tabs>
              <w:spacing w:before="87"/>
              <w:ind w:left="0"/>
              <w:jc w:val="both"/>
              <w:rPr>
                <w:rFonts w:hint="eastAsia" w:ascii="宋体" w:hAnsi="宋体" w:eastAsia="宋体" w:cs="宋体"/>
                <w:sz w:val="21"/>
                <w:szCs w:val="21"/>
              </w:rPr>
            </w:pPr>
          </w:p>
          <w:p w14:paraId="50E129BE">
            <w:pPr>
              <w:pStyle w:val="2"/>
              <w:widowControl w:val="0"/>
              <w:tabs>
                <w:tab w:val="left" w:pos="420"/>
              </w:tabs>
              <w:spacing w:before="87"/>
              <w:ind w:left="0"/>
              <w:jc w:val="both"/>
              <w:rPr>
                <w:rFonts w:hint="eastAsia" w:ascii="宋体" w:hAnsi="宋体" w:eastAsia="宋体" w:cs="宋体"/>
                <w:sz w:val="21"/>
                <w:szCs w:val="21"/>
              </w:rPr>
            </w:pPr>
          </w:p>
          <w:p w14:paraId="6A8DCABC">
            <w:pPr>
              <w:pStyle w:val="2"/>
              <w:widowControl w:val="0"/>
              <w:tabs>
                <w:tab w:val="left" w:pos="420"/>
              </w:tabs>
              <w:spacing w:before="87"/>
              <w:ind w:left="0"/>
              <w:jc w:val="both"/>
              <w:rPr>
                <w:rFonts w:hint="eastAsia" w:ascii="宋体" w:hAnsi="宋体" w:eastAsia="宋体" w:cs="宋体"/>
                <w:sz w:val="21"/>
                <w:szCs w:val="21"/>
              </w:rPr>
            </w:pPr>
          </w:p>
          <w:p w14:paraId="6A559D14">
            <w:pPr>
              <w:pStyle w:val="2"/>
              <w:widowControl w:val="0"/>
              <w:tabs>
                <w:tab w:val="left" w:pos="420"/>
              </w:tabs>
              <w:spacing w:before="87"/>
              <w:jc w:val="both"/>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 xml:space="preserve"> </w:t>
            </w:r>
          </w:p>
          <w:p w14:paraId="756C956B">
            <w:pPr>
              <w:pStyle w:val="2"/>
              <w:widowControl w:val="0"/>
              <w:tabs>
                <w:tab w:val="left" w:pos="420"/>
              </w:tabs>
              <w:spacing w:before="87"/>
              <w:jc w:val="both"/>
              <w:rPr>
                <w:rFonts w:hint="eastAsia" w:ascii="宋体" w:hAnsi="宋体" w:eastAsia="宋体" w:cs="宋体"/>
                <w:sz w:val="21"/>
                <w:szCs w:val="21"/>
              </w:rPr>
            </w:pPr>
            <w:r>
              <w:rPr>
                <w:rFonts w:hint="eastAsia" w:ascii="宋体" w:hAnsi="宋体" w:eastAsia="宋体" w:cs="宋体"/>
                <w:sz w:val="21"/>
                <w:szCs w:val="21"/>
                <w:lang w:val="en-US" w:eastAsia="zh-CN"/>
              </w:rPr>
              <w:t>签字：</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日期：      年    月    日</w:t>
            </w:r>
            <w:r>
              <w:rPr>
                <w:rFonts w:hint="eastAsia" w:ascii="宋体" w:hAnsi="宋体" w:eastAsia="宋体" w:cs="宋体"/>
                <w:sz w:val="21"/>
                <w:szCs w:val="21"/>
              </w:rPr>
              <w:t xml:space="preserve">                                                    </w:t>
            </w:r>
          </w:p>
        </w:tc>
      </w:tr>
    </w:tbl>
    <w:p w14:paraId="60DAAF37">
      <w:pPr>
        <w:rPr>
          <w:rFonts w:hint="default"/>
          <w:sz w:val="24"/>
          <w:szCs w:val="24"/>
          <w:lang w:val="en-US" w:eastAsia="zh-CN"/>
        </w:rPr>
      </w:pPr>
    </w:p>
    <w:p w14:paraId="33E5883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Times New Roman (正文 CS 字体)">
    <w:altName w:val="宋体"/>
    <w:panose1 w:val="00000000000000000000"/>
    <w:charset w:val="86"/>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ACCF64"/>
    <w:multiLevelType w:val="singleLevel"/>
    <w:tmpl w:val="B6ACCF64"/>
    <w:lvl w:ilvl="0" w:tentative="0">
      <w:start w:val="1"/>
      <w:numFmt w:val="decimal"/>
      <w:suff w:val="nothing"/>
      <w:lvlText w:val="（%1）"/>
      <w:lvlJc w:val="left"/>
    </w:lvl>
  </w:abstractNum>
  <w:abstractNum w:abstractNumId="1">
    <w:nsid w:val="4E142A27"/>
    <w:multiLevelType w:val="singleLevel"/>
    <w:tmpl w:val="4E142A2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A253C3"/>
    <w:rsid w:val="0BB35A1E"/>
    <w:rsid w:val="19284483"/>
    <w:rsid w:val="264D231E"/>
    <w:rsid w:val="27C937EA"/>
    <w:rsid w:val="2C723060"/>
    <w:rsid w:val="44DE708D"/>
    <w:rsid w:val="46A253C3"/>
    <w:rsid w:val="4DD059E1"/>
    <w:rsid w:val="4F707062"/>
    <w:rsid w:val="575C02E5"/>
    <w:rsid w:val="6A9F07BD"/>
    <w:rsid w:val="6C00528B"/>
    <w:rsid w:val="7254276E"/>
    <w:rsid w:val="7BAB6F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99"/>
    <w:pPr>
      <w:spacing w:after="120"/>
    </w:pPr>
    <w:rPr>
      <w:rFonts w:ascii="Tahoma" w:hAnsi="Tahoma" w:eastAsia="等线" w:cs="Times New Roman"/>
    </w:rPr>
  </w:style>
  <w:style w:type="paragraph" w:styleId="3">
    <w:name w:val="Body Text Indent 3"/>
    <w:basedOn w:val="1"/>
    <w:qFormat/>
    <w:uiPriority w:val="0"/>
    <w:pPr>
      <w:widowControl/>
      <w:spacing w:before="60" w:beforeLines="0" w:after="60" w:afterLines="0" w:line="280" w:lineRule="atLeast"/>
      <w:ind w:right="291" w:firstLine="400"/>
    </w:pPr>
    <w:rPr>
      <w:rFonts w:ascii="宋体"/>
      <w:kern w:val="0"/>
    </w:rPr>
  </w:style>
  <w:style w:type="paragraph" w:styleId="4">
    <w:name w:val="Normal (Web)"/>
    <w:basedOn w:val="1"/>
    <w:unhideWhenUsed/>
    <w:qFormat/>
    <w:uiPriority w:val="99"/>
    <w:rPr>
      <w:sz w:val="24"/>
      <w:szCs w:val="22"/>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楷体粗正文文字"/>
    <w:basedOn w:val="1"/>
    <w:next w:val="3"/>
    <w:autoRedefine/>
    <w:qFormat/>
    <w:uiPriority w:val="0"/>
    <w:pPr>
      <w:snapToGrid w:val="0"/>
      <w:spacing w:line="480" w:lineRule="exact"/>
      <w:ind w:firstLine="560" w:firstLineChars="0"/>
    </w:pPr>
    <w:rPr>
      <w:sz w:val="28"/>
      <w:szCs w:val="20"/>
    </w:rPr>
  </w:style>
  <w:style w:type="paragraph" w:customStyle="1" w:styleId="10">
    <w:name w:val="PwC Normal"/>
    <w:basedOn w:val="1"/>
    <w:qFormat/>
    <w:uiPriority w:val="99"/>
    <w:pPr>
      <w:spacing w:before="180" w:after="180" w:line="240" w:lineRule="atLeast"/>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其他</Company>
  <Pages>24</Pages>
  <Words>12345</Words>
  <Characters>12699</Characters>
  <Lines>0</Lines>
  <Paragraphs>0</Paragraphs>
  <TotalTime>0</TotalTime>
  <ScaleCrop>false</ScaleCrop>
  <LinksUpToDate>false</LinksUpToDate>
  <CharactersWithSpaces>12812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2025-09-23T07:18:00Z</dcterms:created>
  <dc:creator></dc:creator>
  <cp:lastModifiedBy></cp:lastModifiedBy>
  <dcterms:modified xsi:type="dcterms:W3CDTF">2025-09-24T02:43:48Z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8CAA35B4C04645AB8CBD8E57032CA9EA_13</vt:lpwstr>
  </property>
  <property fmtid="{D5CDD505-2E9C-101B-9397-08002B2CF9AE}" pid="4" name="KSOTemplateDocerSaveRecord">
    <vt:lpwstr>eyJoZGlkIjoiZWEzMjBkYzQ0YmNjYTVmYzc4NDMzYjZjZGZiNjUyOTEiLCJ1c2VySWQiOiI2NjI1OTUwNjcifQ==</vt:lpwstr>
  </property>
</Properties>
</file>