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0D75A">
      <w:pPr>
        <w:pStyle w:val="3"/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after="0" w:line="360" w:lineRule="auto"/>
        <w:ind w:left="0" w:leftChars="0" w:right="0" w:firstLine="643" w:firstLineChars="20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海南医科大学第二附属医院</w:t>
      </w:r>
    </w:p>
    <w:p w14:paraId="396F754F">
      <w:pPr>
        <w:pStyle w:val="3"/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after="0" w:line="360" w:lineRule="auto"/>
        <w:ind w:left="0" w:leftChars="0" w:right="0" w:firstLine="643" w:firstLineChars="2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绩效管理系统运维及升级改造服务</w:t>
      </w:r>
    </w:p>
    <w:p w14:paraId="370301A5">
      <w:pPr>
        <w:pStyle w:val="3"/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="0" w:after="0" w:line="360" w:lineRule="auto"/>
        <w:ind w:left="0" w:leftChars="0" w:right="0" w:firstLine="643" w:firstLineChars="2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需求书</w:t>
      </w:r>
    </w:p>
    <w:p w14:paraId="1ADE799E">
      <w:pPr>
        <w:pStyle w:val="2"/>
        <w:pageBreakBefore w:val="0"/>
        <w:wordWrap/>
        <w:overflowPunct/>
        <w:topLinePunct w:val="0"/>
        <w:bidi w:val="0"/>
        <w:spacing w:before="0" w:beforeLines="0" w:after="0" w:afterLines="0" w:line="360" w:lineRule="auto"/>
        <w:ind w:left="0" w:leftChars="0" w:right="0" w:firstLine="482" w:firstLineChars="200"/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一、项目背景</w:t>
      </w:r>
    </w:p>
    <w:p w14:paraId="3918CC4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Times New Roman" w:hAnsi="Times New Roman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我院绩效管理系统</w:t>
      </w:r>
      <w:r>
        <w:rPr>
          <w:rFonts w:hint="eastAsia" w:cs="Times New Roman"/>
          <w:b w:val="0"/>
          <w:color w:val="000000"/>
          <w:kern w:val="0"/>
          <w:sz w:val="24"/>
          <w:lang w:val="en-US" w:eastAsia="zh-CN" w:bidi="ar"/>
        </w:rPr>
        <w:t>运维服务期限已满，</w:t>
      </w:r>
      <w:r>
        <w:rPr>
          <w:rFonts w:hint="eastAsia" w:ascii="Times New Roman" w:hAnsi="Times New Roman" w:cs="Times New Roman"/>
          <w:color w:val="000000"/>
          <w:kern w:val="0"/>
          <w:sz w:val="24"/>
          <w:lang w:bidi="ar"/>
        </w:rPr>
        <w:t>为确保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系统</w:t>
      </w:r>
      <w:r>
        <w:rPr>
          <w:rFonts w:hint="eastAsia" w:ascii="Times New Roman" w:hAnsi="Times New Roman" w:cs="Times New Roman"/>
          <w:color w:val="000000"/>
          <w:kern w:val="0"/>
          <w:sz w:val="24"/>
          <w:lang w:bidi="ar"/>
        </w:rPr>
        <w:t>正常运行、系统故障及时修复，故购买</w:t>
      </w:r>
      <w:r>
        <w:rPr>
          <w:rFonts w:hint="eastAsia" w:cs="Times New Roman"/>
          <w:color w:val="000000"/>
          <w:kern w:val="0"/>
          <w:sz w:val="24"/>
          <w:lang w:val="en-US" w:eastAsia="zh-CN" w:bidi="ar"/>
        </w:rPr>
        <w:t>绩效管理系统</w:t>
      </w:r>
      <w:r>
        <w:rPr>
          <w:rFonts w:hint="eastAsia" w:ascii="Times New Roman" w:hAnsi="Times New Roman" w:cs="Times New Roman"/>
          <w:color w:val="000000"/>
          <w:kern w:val="0"/>
          <w:sz w:val="24"/>
          <w:lang w:bidi="ar"/>
        </w:rPr>
        <w:t>维保服务。</w:t>
      </w:r>
    </w:p>
    <w:p w14:paraId="2B068E4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  <w:r>
        <w:rPr>
          <w:rFonts w:hint="eastAsia" w:cs="Times New Roman"/>
          <w:b w:val="0"/>
          <w:color w:val="000000"/>
          <w:kern w:val="0"/>
          <w:sz w:val="24"/>
          <w:lang w:val="en-US" w:eastAsia="zh-CN" w:bidi="ar"/>
        </w:rPr>
        <w:t>此外，针对科室个性化需求，</w:t>
      </w:r>
      <w:r>
        <w:rPr>
          <w:rFonts w:hint="eastAsia" w:ascii="Times New Roman" w:hAnsi="Times New Roman" w:cs="Times New Roman"/>
          <w:color w:val="000000"/>
          <w:kern w:val="0"/>
          <w:sz w:val="24"/>
          <w:lang w:bidi="ar"/>
        </w:rPr>
        <w:t>为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 w:bidi="ar"/>
        </w:rPr>
        <w:t>提升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绩效管理系统</w:t>
      </w:r>
      <w:r>
        <w:rPr>
          <w:rFonts w:hint="eastAsia" w:ascii="Times New Roman" w:hAnsi="Times New Roman" w:cs="Times New Roman"/>
          <w:color w:val="000000"/>
          <w:kern w:val="0"/>
          <w:sz w:val="24"/>
          <w:lang w:bidi="ar"/>
        </w:rPr>
        <w:t>的使用适配性，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 w:bidi="ar"/>
        </w:rPr>
        <w:t>优化系统功能，</w:t>
      </w:r>
      <w:r>
        <w:rPr>
          <w:rFonts w:hint="eastAsia" w:ascii="Times New Roman" w:hAnsi="Times New Roman" w:cs="Times New Roman"/>
          <w:color w:val="000000"/>
          <w:kern w:val="0"/>
          <w:sz w:val="24"/>
          <w:lang w:bidi="ar"/>
        </w:rPr>
        <w:t>故购买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绩效管理系统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 w:bidi="ar"/>
        </w:rPr>
        <w:t>优化</w:t>
      </w:r>
      <w:r>
        <w:rPr>
          <w:rFonts w:hint="eastAsia" w:ascii="Times New Roman" w:hAnsi="Times New Roman" w:cs="Times New Roman"/>
          <w:color w:val="000000"/>
          <w:kern w:val="0"/>
          <w:sz w:val="24"/>
          <w:lang w:bidi="ar"/>
        </w:rPr>
        <w:t>服务</w:t>
      </w:r>
      <w:r>
        <w:rPr>
          <w:rFonts w:hint="eastAsia" w:cs="Times New Roman"/>
          <w:color w:val="000000"/>
          <w:kern w:val="0"/>
          <w:sz w:val="24"/>
          <w:lang w:eastAsia="zh-CN" w:bidi="ar"/>
        </w:rPr>
        <w:t>。</w:t>
      </w:r>
    </w:p>
    <w:p w14:paraId="6992D637">
      <w:pPr>
        <w:pStyle w:val="2"/>
        <w:pageBreakBefore w:val="0"/>
        <w:wordWrap/>
        <w:overflowPunct/>
        <w:topLinePunct w:val="0"/>
        <w:bidi w:val="0"/>
        <w:spacing w:before="0" w:beforeLines="0" w:after="0" w:afterLines="0" w:line="360" w:lineRule="auto"/>
        <w:ind w:left="0" w:leftChars="0" w:right="0" w:firstLine="482" w:firstLineChars="200"/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二、投标人资质要求</w:t>
      </w:r>
    </w:p>
    <w:p w14:paraId="71C88B22">
      <w:pPr>
        <w:widowControl w:val="0"/>
        <w:numPr>
          <w:ilvl w:val="0"/>
          <w:numId w:val="0"/>
        </w:numPr>
        <w:ind w:leftChars="200"/>
        <w:jc w:val="both"/>
        <w:rPr>
          <w:rFonts w:hint="default"/>
          <w:lang w:val="en-US"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投标人须具备完成本项目相关工作的资质与能力。</w:t>
      </w:r>
    </w:p>
    <w:p w14:paraId="7C657E7C">
      <w:pPr>
        <w:pStyle w:val="2"/>
        <w:pageBreakBefore w:val="0"/>
        <w:wordWrap/>
        <w:overflowPunct/>
        <w:topLinePunct w:val="0"/>
        <w:bidi w:val="0"/>
        <w:spacing w:before="0" w:beforeLines="0" w:after="0" w:afterLines="0" w:line="360" w:lineRule="auto"/>
        <w:ind w:left="0" w:leftChars="0" w:right="0" w:firstLine="482" w:firstLineChars="200"/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三、项目价款</w:t>
      </w:r>
    </w:p>
    <w:p w14:paraId="1AFB4229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firstLine="480" w:firstLineChars="200"/>
        <w:jc w:val="left"/>
        <w:textAlignment w:val="baseline"/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1.本项目报价应包括：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 w:val="24"/>
          <w:szCs w:val="24"/>
          <w:lang w:val="en-US" w:eastAsia="zh-CN" w:bidi="ar"/>
        </w:rPr>
        <w:t>维护期内系统的养护、检测、故障排除、数据库及软件服务巡检、系统升级改造、技术支持、各系统接口对接、会议、访谈、研讨等活动所发生的服务费、税费、交通费、食宿费、差旅费、通讯费等保障甲方正常使用本合同项下所购内容的一切费用的总和。</w:t>
      </w:r>
    </w:p>
    <w:p w14:paraId="7B706FF4">
      <w:pPr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2.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维护期内所发生的一切费用包括系统技术支持、系统维护、人员交通、差旅服务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eastAsia="zh-CN" w:bidi="ar"/>
        </w:rPr>
        <w:t>、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食宿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等全部费用均由中标人承担，采购人不再另行付费。</w:t>
      </w:r>
    </w:p>
    <w:p w14:paraId="09808242">
      <w:pPr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3.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投标人应结合自身实力，充分考虑完成本项目所需人员及时间等因素合理制定收费标准，收费标准不得高于《海南省政务信息化项目投资编制标（</w:t>
      </w:r>
      <w:r>
        <w:rPr>
          <w:rFonts w:hint="default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2025 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年版）》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3.3软件运维费计算方法：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成品软件运维费=运维对象IT资产额×运维费率×运维年限系数</w:t>
      </w:r>
      <w:r>
        <w:rPr>
          <w:rFonts w:hint="eastAsia" w:cs="Times New Roman"/>
          <w:b w:val="0"/>
          <w:color w:val="000000"/>
          <w:kern w:val="0"/>
          <w:sz w:val="24"/>
          <w:lang w:val="en-US" w:eastAsia="zh-CN" w:bidi="ar"/>
        </w:rPr>
        <w:t>。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本</w:t>
      </w:r>
      <w:r>
        <w:rPr>
          <w:rFonts w:hint="eastAsia" w:cs="Times New Roman"/>
          <w:b w:val="0"/>
          <w:color w:val="000000"/>
          <w:kern w:val="0"/>
          <w:sz w:val="24"/>
          <w:lang w:val="en-US" w:eastAsia="zh-CN" w:bidi="ar"/>
        </w:rPr>
        <w:t>次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项目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运维对象：绩效管理系统IT资产总额为¥300,000.00（人民币大写：叁拾万元整），本次运维为质保期后的第四年，运维年限系数取0.9，</w:t>
      </w:r>
      <w:r>
        <w:rPr>
          <w:rFonts w:hint="eastAsia" w:cs="Times New Roman"/>
          <w:b w:val="0"/>
          <w:color w:val="000000"/>
          <w:kern w:val="0"/>
          <w:sz w:val="24"/>
          <w:lang w:val="en-US" w:eastAsia="zh-CN" w:bidi="ar"/>
        </w:rPr>
        <w:t>按照标准，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运维费率取值不高于5%，即本次绩效管理系统运维服务费用最高不得超过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val="en-US" w:eastAsia="zh-CN" w:bidi="ar"/>
        </w:rPr>
        <w:t>¥13,500.00（人民币大写：壹万叁仟伍佰元整）。</w:t>
      </w:r>
    </w:p>
    <w:p w14:paraId="3258E539">
      <w:pPr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4.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成交报价人不得以任何方式转包或分包本项目。</w:t>
      </w:r>
    </w:p>
    <w:p w14:paraId="56055F29">
      <w:pPr>
        <w:pStyle w:val="2"/>
        <w:pageBreakBefore w:val="0"/>
        <w:wordWrap/>
        <w:overflowPunct/>
        <w:topLinePunct w:val="0"/>
        <w:bidi w:val="0"/>
        <w:spacing w:before="0" w:beforeLines="0" w:after="0" w:afterLines="0" w:line="360" w:lineRule="auto"/>
        <w:ind w:left="0" w:leftChars="0" w:right="0" w:firstLine="482" w:firstLineChars="200"/>
        <w:rPr>
          <w:rFonts w:hint="default" w:asciiTheme="minorHAnsi" w:hAnsiTheme="minorHAnsi" w:eastAsiaTheme="minorEastAsia" w:cstheme="minorBidi"/>
          <w:b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四、建设内容</w:t>
      </w:r>
    </w:p>
    <w:tbl>
      <w:tblPr>
        <w:tblStyle w:val="8"/>
        <w:tblW w:w="8450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414"/>
        <w:gridCol w:w="2228"/>
        <w:gridCol w:w="2016"/>
      </w:tblGrid>
      <w:tr w14:paraId="54C3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92" w:type="dxa"/>
          </w:tcPr>
          <w:p w14:paraId="77BE8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3414" w:type="dxa"/>
          </w:tcPr>
          <w:p w14:paraId="0A28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产品名称</w:t>
            </w:r>
          </w:p>
        </w:tc>
        <w:tc>
          <w:tcPr>
            <w:tcW w:w="2228" w:type="dxa"/>
          </w:tcPr>
          <w:p w14:paraId="72BDB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最高限额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6" w:type="dxa"/>
          </w:tcPr>
          <w:p w14:paraId="01246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 w14:paraId="5B05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2" w:type="dxa"/>
          </w:tcPr>
          <w:p w14:paraId="61792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14" w:type="dxa"/>
          </w:tcPr>
          <w:p w14:paraId="58DF0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绩效管理系统运维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2228" w:type="dxa"/>
          </w:tcPr>
          <w:p w14:paraId="66C3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13,500.00</w:t>
            </w:r>
          </w:p>
        </w:tc>
        <w:tc>
          <w:tcPr>
            <w:tcW w:w="2016" w:type="dxa"/>
          </w:tcPr>
          <w:p w14:paraId="7CBBE17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C96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43BC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414" w:type="dxa"/>
          </w:tcPr>
          <w:p w14:paraId="4EAD0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绩效管理系统升级改造服务</w:t>
            </w:r>
          </w:p>
        </w:tc>
        <w:tc>
          <w:tcPr>
            <w:tcW w:w="2228" w:type="dxa"/>
          </w:tcPr>
          <w:p w14:paraId="2530E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F66F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25D6B748">
      <w:pPr>
        <w:pStyle w:val="2"/>
        <w:pageBreakBefore w:val="0"/>
        <w:wordWrap/>
        <w:overflowPunct/>
        <w:topLinePunct w:val="0"/>
        <w:bidi w:val="0"/>
        <w:spacing w:before="0" w:beforeLines="0" w:after="0" w:afterLines="0" w:line="360" w:lineRule="auto"/>
        <w:ind w:left="0" w:leftChars="0" w:right="0" w:firstLine="482" w:firstLineChars="200"/>
        <w:rPr>
          <w:rFonts w:hint="default" w:asciiTheme="minorHAnsi" w:hAnsiTheme="minorHAnsi" w:eastAsiaTheme="minorEastAsia" w:cstheme="minorBidi"/>
          <w:b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五、具体要求及描述</w:t>
      </w:r>
    </w:p>
    <w:p w14:paraId="28ADCF67">
      <w:pPr>
        <w:pStyle w:val="5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绩效管理系统运维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服务</w:t>
      </w:r>
      <w:bookmarkStart w:id="0" w:name="_GoBack"/>
      <w:bookmarkEnd w:id="0"/>
    </w:p>
    <w:p w14:paraId="6C6BD602">
      <w:pPr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1.工作要求：保障软件的正常运行，确保软件的正常使用。</w:t>
      </w:r>
    </w:p>
    <w:p w14:paraId="1E50631B">
      <w:pPr>
        <w:pStyle w:val="5"/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lang w:bidi="ar"/>
        </w:rPr>
        <w:t>2.维护期限：自合同签订之日起壹年。</w:t>
      </w:r>
    </w:p>
    <w:tbl>
      <w:tblPr>
        <w:tblStyle w:val="7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455"/>
        <w:gridCol w:w="3722"/>
        <w:gridCol w:w="1838"/>
        <w:gridCol w:w="1565"/>
        <w:gridCol w:w="672"/>
      </w:tblGrid>
      <w:tr w14:paraId="000D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7" w:type="dxa"/>
            <w:vMerge w:val="restart"/>
            <w:noWrap/>
            <w:vAlign w:val="center"/>
          </w:tcPr>
          <w:p w14:paraId="00BB62F4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绩效管理系统运维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455" w:type="dxa"/>
            <w:noWrap/>
            <w:vAlign w:val="center"/>
          </w:tcPr>
          <w:p w14:paraId="2CF59895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</w:rPr>
              <w:t>服务类型</w:t>
            </w:r>
          </w:p>
        </w:tc>
        <w:tc>
          <w:tcPr>
            <w:tcW w:w="3722" w:type="dxa"/>
            <w:noWrap/>
            <w:vAlign w:val="center"/>
          </w:tcPr>
          <w:p w14:paraId="4EEAB30E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838" w:type="dxa"/>
            <w:noWrap/>
            <w:vAlign w:val="center"/>
          </w:tcPr>
          <w:p w14:paraId="3CEAA2D0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</w:rPr>
              <w:t>服务方式</w:t>
            </w:r>
          </w:p>
        </w:tc>
        <w:tc>
          <w:tcPr>
            <w:tcW w:w="1565" w:type="dxa"/>
            <w:noWrap/>
            <w:vAlign w:val="center"/>
          </w:tcPr>
          <w:p w14:paraId="73F3E94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</w:rPr>
              <w:t>服务标准及要求</w:t>
            </w:r>
          </w:p>
        </w:tc>
        <w:tc>
          <w:tcPr>
            <w:tcW w:w="672" w:type="dxa"/>
            <w:noWrap/>
            <w:vAlign w:val="center"/>
          </w:tcPr>
          <w:p w14:paraId="7ED039A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AD9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467" w:type="dxa"/>
            <w:vMerge w:val="continue"/>
            <w:noWrap/>
            <w:vAlign w:val="center"/>
          </w:tcPr>
          <w:p w14:paraId="7454FAFD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55" w:type="dxa"/>
            <w:noWrap/>
            <w:vAlign w:val="center"/>
          </w:tcPr>
          <w:p w14:paraId="37112F25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故障响应</w:t>
            </w:r>
          </w:p>
        </w:tc>
        <w:tc>
          <w:tcPr>
            <w:tcW w:w="3722" w:type="dxa"/>
            <w:vAlign w:val="center"/>
          </w:tcPr>
          <w:p w14:paraId="14F449A6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提供7*24小时故障响应服务，对于由网络、服务器、计算机、操作系统等原因造成的软件无法正常运行的情况进行处理，保障系统的正常运行，并在完成故障处理后出具产品维护报告，包含问题的原因、解决办法及建议。</w:t>
            </w:r>
          </w:p>
        </w:tc>
        <w:tc>
          <w:tcPr>
            <w:tcW w:w="1838" w:type="dxa"/>
            <w:vMerge w:val="restart"/>
            <w:vAlign w:val="center"/>
          </w:tcPr>
          <w:p w14:paraId="33A5EB3A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86BA614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D58D0AD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6732E67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73D7445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有条件进行远程，将通过远程工具第一时间解决故障问题，保证系统运行。若远程维护无法解决故问题，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除双方另有约定外，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eastAsia="zh-CN" w:bidi="ar"/>
              </w:rPr>
              <w:t>乙方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应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在收到报障信息24小时内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派遣技术人员到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达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使用现场解决问题，并进行系统保障服务。</w:t>
            </w:r>
          </w:p>
          <w:p w14:paraId="2F485C05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02AC336C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E43FBA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8CAB551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F5E8FF1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98D49B3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F569723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提供7*24小时服务热线，故障响应时间≤10 分钟，一般故障于2小时内解决，严重故障于12小时内解决，如非现场不能解决故障，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除双方另有约定外，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24小时内到达故障现场。</w:t>
            </w:r>
          </w:p>
        </w:tc>
        <w:tc>
          <w:tcPr>
            <w:tcW w:w="672" w:type="dxa"/>
            <w:vMerge w:val="restart"/>
            <w:noWrap/>
            <w:vAlign w:val="center"/>
          </w:tcPr>
          <w:p w14:paraId="1DD15F51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</w:tr>
      <w:tr w14:paraId="73B7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67" w:type="dxa"/>
            <w:vMerge w:val="continue"/>
            <w:noWrap/>
            <w:vAlign w:val="center"/>
          </w:tcPr>
          <w:p w14:paraId="5B31E9BC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55" w:type="dxa"/>
            <w:noWrap/>
            <w:vAlign w:val="center"/>
          </w:tcPr>
          <w:p w14:paraId="4C4968B4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软件正确性维护</w:t>
            </w:r>
          </w:p>
        </w:tc>
        <w:tc>
          <w:tcPr>
            <w:tcW w:w="3722" w:type="dxa"/>
            <w:vAlign w:val="center"/>
          </w:tcPr>
          <w:p w14:paraId="261109DC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  <w:t>软件运行过程中发现的错误，负责维护并及时改进，同时向院方提供软件维护说明。</w:t>
            </w:r>
          </w:p>
        </w:tc>
        <w:tc>
          <w:tcPr>
            <w:tcW w:w="1838" w:type="dxa"/>
            <w:vMerge w:val="continue"/>
            <w:vAlign w:val="center"/>
          </w:tcPr>
          <w:p w14:paraId="3A93EA70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2F27981A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2" w:type="dxa"/>
            <w:vMerge w:val="continue"/>
            <w:noWrap/>
            <w:vAlign w:val="center"/>
          </w:tcPr>
          <w:p w14:paraId="48900A28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410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7" w:hRule="atLeast"/>
          <w:jc w:val="center"/>
        </w:trPr>
        <w:tc>
          <w:tcPr>
            <w:tcW w:w="467" w:type="dxa"/>
            <w:vMerge w:val="continue"/>
            <w:noWrap/>
            <w:vAlign w:val="center"/>
          </w:tcPr>
          <w:p w14:paraId="3266EEE6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55" w:type="dxa"/>
            <w:noWrap/>
            <w:vAlign w:val="center"/>
          </w:tcPr>
          <w:p w14:paraId="14F73554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定时巡检</w:t>
            </w:r>
          </w:p>
        </w:tc>
        <w:tc>
          <w:tcPr>
            <w:tcW w:w="3722" w:type="dxa"/>
            <w:vAlign w:val="center"/>
          </w:tcPr>
          <w:p w14:paraId="143F68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经院方许可，每季度至少进行一次定期巡检，除定期的巡检之外，根据实际情况提供重大的节假日（包括但不限于五一、十一、春节、元旦等）、会议等事件之前的健康检查工作，对院方应用软件的软硬件环境进行检查，发现影响系统稳定运行的隐患因素并及时排除。向院方出具系统巡检报告，内容包含巡检范围、结果及巡检建议等。</w:t>
            </w:r>
          </w:p>
          <w:p w14:paraId="0AE65BF2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32EF1141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0D5CC43F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2" w:type="dxa"/>
            <w:noWrap/>
            <w:vAlign w:val="center"/>
          </w:tcPr>
          <w:p w14:paraId="435C74E5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C1F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67" w:type="dxa"/>
            <w:vMerge w:val="continue"/>
            <w:noWrap/>
            <w:vAlign w:val="center"/>
          </w:tcPr>
          <w:p w14:paraId="1A0F5D20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55" w:type="dxa"/>
            <w:noWrap/>
            <w:vAlign w:val="center"/>
          </w:tcPr>
          <w:p w14:paraId="7932B203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数据迁移、备份和恢复服务</w:t>
            </w:r>
          </w:p>
        </w:tc>
        <w:tc>
          <w:tcPr>
            <w:tcW w:w="3722" w:type="dxa"/>
            <w:vAlign w:val="center"/>
          </w:tcPr>
          <w:p w14:paraId="459323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如采购人需要，提供数据迁移、备份和恢复服务。</w:t>
            </w:r>
          </w:p>
        </w:tc>
        <w:tc>
          <w:tcPr>
            <w:tcW w:w="1838" w:type="dxa"/>
            <w:vMerge w:val="continue"/>
            <w:vAlign w:val="center"/>
          </w:tcPr>
          <w:p w14:paraId="75DF6ACD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1C6912A3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2" w:type="dxa"/>
            <w:noWrap/>
            <w:vAlign w:val="center"/>
          </w:tcPr>
          <w:p w14:paraId="25617DA6">
            <w:pPr>
              <w:kinsoku w:val="0"/>
              <w:autoSpaceDE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0551226C">
      <w:pPr>
        <w:pStyle w:val="2"/>
        <w:spacing w:before="0" w:after="0" w:line="360" w:lineRule="auto"/>
        <w:ind w:firstLine="480" w:firstLineChars="20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</w:rPr>
        <w:t>（二）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绩效管理系统升级改造服务</w:t>
      </w:r>
    </w:p>
    <w:p w14:paraId="07234FB8">
      <w:pPr>
        <w:kinsoku w:val="0"/>
        <w:autoSpaceDE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4"/>
          <w:lang w:bidi="ar"/>
        </w:rPr>
        <w:t>工作要求：</w:t>
      </w: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4"/>
          <w:lang w:val="en-US" w:eastAsia="zh-CN" w:bidi="ar"/>
        </w:rPr>
        <w:t>根据使用科室需求对绩效管理系统进行升级改造，具体改造清单如下：</w:t>
      </w:r>
    </w:p>
    <w:tbl>
      <w:tblPr>
        <w:tblStyle w:val="8"/>
        <w:tblW w:w="9763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176"/>
        <w:gridCol w:w="2329"/>
        <w:gridCol w:w="5236"/>
      </w:tblGrid>
      <w:tr w14:paraId="54AC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restart"/>
            <w:vAlign w:val="center"/>
          </w:tcPr>
          <w:p w14:paraId="39ADF9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绩效管理系统升级改造服务</w:t>
            </w:r>
          </w:p>
        </w:tc>
        <w:tc>
          <w:tcPr>
            <w:tcW w:w="1176" w:type="dxa"/>
            <w:vAlign w:val="center"/>
          </w:tcPr>
          <w:p w14:paraId="3F5FD20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329" w:type="dxa"/>
            <w:vAlign w:val="center"/>
          </w:tcPr>
          <w:p w14:paraId="11C8DE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5236" w:type="dxa"/>
            <w:vAlign w:val="center"/>
          </w:tcPr>
          <w:p w14:paraId="4D5159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具体描述及要求</w:t>
            </w:r>
          </w:p>
        </w:tc>
      </w:tr>
      <w:tr w14:paraId="17E8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vAlign w:val="center"/>
          </w:tcPr>
          <w:p w14:paraId="1AA1372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022EB0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功能新增</w:t>
            </w:r>
          </w:p>
        </w:tc>
        <w:tc>
          <w:tcPr>
            <w:tcW w:w="2329" w:type="dxa"/>
            <w:vAlign w:val="center"/>
          </w:tcPr>
          <w:p w14:paraId="21CEF5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新增同科室不同月份分析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功能</w:t>
            </w:r>
          </w:p>
        </w:tc>
        <w:tc>
          <w:tcPr>
            <w:tcW w:w="5236" w:type="dxa"/>
            <w:vAlign w:val="center"/>
          </w:tcPr>
          <w:p w14:paraId="21CD205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cs="宋体"/>
                <w:snapToGrid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首页导航栏新增“同科室不同月份分析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功能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”，通过图表等形式直观呈现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科室不同月份的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数据；</w:t>
            </w:r>
          </w:p>
        </w:tc>
      </w:tr>
      <w:tr w14:paraId="7095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vAlign w:val="center"/>
          </w:tcPr>
          <w:p w14:paraId="14A0CE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1C3ECE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29" w:type="dxa"/>
            <w:vAlign w:val="center"/>
          </w:tcPr>
          <w:p w14:paraId="14C6EA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新增绩效明细检索功能</w:t>
            </w:r>
          </w:p>
        </w:tc>
        <w:tc>
          <w:tcPr>
            <w:tcW w:w="5236" w:type="dxa"/>
            <w:vAlign w:val="center"/>
          </w:tcPr>
          <w:p w14:paraId="2546A3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新增工作量绩效项目明细检索查询功能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1689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vAlign w:val="center"/>
          </w:tcPr>
          <w:p w14:paraId="6F83DF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3D72C22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29" w:type="dxa"/>
            <w:vAlign w:val="center"/>
          </w:tcPr>
          <w:p w14:paraId="433FA1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新增自定义指标核算功能</w:t>
            </w:r>
          </w:p>
        </w:tc>
        <w:tc>
          <w:tcPr>
            <w:tcW w:w="5236" w:type="dxa"/>
            <w:vAlign w:val="center"/>
          </w:tcPr>
          <w:p w14:paraId="1A8474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支持用户自定义指标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系统</w:t>
            </w:r>
            <w:r>
              <w:rPr>
                <w:rFonts w:hint="eastAsia"/>
                <w:color w:val="000000"/>
                <w:kern w:val="0"/>
                <w:sz w:val="24"/>
              </w:rPr>
              <w:t>完成该指标的计算并应用于绩效核算。</w:t>
            </w:r>
          </w:p>
        </w:tc>
      </w:tr>
      <w:tr w14:paraId="164A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Merge w:val="continue"/>
            <w:vAlign w:val="center"/>
          </w:tcPr>
          <w:p w14:paraId="5550E2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71F904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29" w:type="dxa"/>
            <w:vAlign w:val="center"/>
          </w:tcPr>
          <w:p w14:paraId="53C6539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新增关键数据回顾性分析和关键工作量点值测算功能</w:t>
            </w:r>
          </w:p>
        </w:tc>
        <w:tc>
          <w:tcPr>
            <w:tcW w:w="5236" w:type="dxa"/>
            <w:vAlign w:val="center"/>
          </w:tcPr>
          <w:p w14:paraId="29001B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新增关键数据回顾性分析和关键工作量点值计算功能，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可分类显示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科室不同月份的关键项目指标以及分值数据</w:t>
            </w:r>
            <w:r>
              <w:rPr>
                <w:rFonts w:hint="eastAsia" w:ascii="宋体" w:hAnsi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 w14:paraId="7884A98C">
      <w:pPr>
        <w:pStyle w:val="2"/>
        <w:pageBreakBefore w:val="0"/>
        <w:wordWrap/>
        <w:overflowPunct/>
        <w:topLinePunct w:val="0"/>
        <w:bidi w:val="0"/>
        <w:spacing w:before="0" w:beforeLines="0" w:after="0" w:afterLines="0" w:line="360" w:lineRule="auto"/>
        <w:ind w:left="0" w:leftChars="0" w:right="0" w:firstLine="482" w:firstLineChars="200"/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六、安全保障</w:t>
      </w:r>
    </w:p>
    <w:p w14:paraId="569D1BA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val="en-US" w:eastAsia="zh-CN"/>
        </w:rPr>
        <w:t>（一）本次项目遵循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</w:rPr>
        <w:t>《中华人民共和国数据安全法》、《中华人民共和国网络安全法》、《中国人民共和国个人信息保护法》等标准规范文件要求进行建设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eastAsia="zh-CN"/>
        </w:rPr>
        <w:t>。</w:t>
      </w:r>
    </w:p>
    <w:p w14:paraId="7C0642B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val="en-US" w:eastAsia="zh-CN"/>
        </w:rPr>
        <w:t>（二）乙方承诺，本次项目所交付的产品满足信息安全相关要求，且交付产品无软件缺陷和漏洞，如后续乙方产品被检出信息安全、软件缺陷和漏洞等相关问题，乙方终身无条件配合甲方进行整改，且整改费用已经包含在本项目金额内，乙方不再另行收费。</w:t>
      </w:r>
    </w:p>
    <w:p w14:paraId="00D54502">
      <w:pPr>
        <w:pStyle w:val="2"/>
        <w:pageBreakBefore w:val="0"/>
        <w:wordWrap/>
        <w:overflowPunct/>
        <w:topLinePunct w:val="0"/>
        <w:bidi w:val="0"/>
        <w:spacing w:before="0" w:beforeLines="0" w:after="0" w:afterLines="0" w:line="360" w:lineRule="auto"/>
        <w:ind w:left="0" w:leftChars="0" w:right="0" w:firstLine="482" w:firstLineChars="200"/>
        <w:rPr>
          <w:rFonts w:hint="default" w:asciiTheme="minorHAnsi" w:hAnsiTheme="minorHAnsi" w:eastAsiaTheme="minorEastAsia" w:cstheme="minorBidi"/>
          <w:b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七、验收及付款</w:t>
      </w:r>
    </w:p>
    <w:p w14:paraId="619DA4A2">
      <w:pPr>
        <w:kinsoku w:val="0"/>
        <w:autoSpaceDE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绩效管理系统升级改造建设内容完成后，乙方书面向甲方提交预验收申请及相关文档，经甲方相关部门验收合格后，凭乙方提供的正式有效的含税发票，甲方办理相关手续后，全额支付绩效管理系统升级改造服务部分合同款项。</w:t>
      </w:r>
    </w:p>
    <w:p w14:paraId="38B24A0B">
      <w:pPr>
        <w:kinsoku w:val="0"/>
        <w:autoSpaceDE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运维服务期满后，甲方相关部门对乙方运维服务进行评价（评价表详见附件1），评价为合格后凭中标人提供的正式含税发票，采购人办理相关手续后，支付剩余合同款；</w:t>
      </w:r>
    </w:p>
    <w:p w14:paraId="3FF243CA">
      <w:pPr>
        <w:kinsoku w:val="0"/>
        <w:autoSpaceDE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Theme="minorHAnsi" w:hAnsiTheme="minorHAnsi" w:eastAsiaTheme="minorEastAsia" w:cstheme="minorBidi"/>
          <w:sz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4"/>
          <w:lang w:val="en-US" w:eastAsia="zh-CN"/>
        </w:rPr>
        <w:t>投标人</w:t>
      </w:r>
      <w:r>
        <w:rPr>
          <w:rFonts w:hint="eastAsia" w:cstheme="minorBidi"/>
          <w:sz w:val="24"/>
          <w:lang w:val="en-US" w:eastAsia="zh-CN"/>
        </w:rPr>
        <w:t>运维</w:t>
      </w:r>
      <w:r>
        <w:rPr>
          <w:rFonts w:hint="eastAsia" w:asciiTheme="minorHAnsi" w:hAnsiTheme="minorHAnsi" w:eastAsiaTheme="minorEastAsia" w:cstheme="minorBidi"/>
          <w:sz w:val="24"/>
          <w:lang w:val="en-US" w:eastAsia="zh-CN"/>
        </w:rPr>
        <w:t>服务不达标，采购人有权拒付或减值支付</w:t>
      </w:r>
      <w:r>
        <w:rPr>
          <w:rFonts w:hint="eastAsia" w:ascii="Times New Roman" w:hAnsi="Times New Roman" w:eastAsia="宋体" w:cs="Times New Roman"/>
          <w:sz w:val="24"/>
          <w:szCs w:val="24"/>
        </w:rPr>
        <w:t>绩效管理系统运维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服务</w:t>
      </w:r>
      <w:r>
        <w:rPr>
          <w:rFonts w:hint="eastAsia" w:asciiTheme="minorHAnsi" w:hAnsiTheme="minorHAnsi" w:eastAsiaTheme="minorEastAsia" w:cstheme="minorBidi"/>
          <w:sz w:val="24"/>
          <w:lang w:val="en-US" w:eastAsia="zh-CN"/>
        </w:rPr>
        <w:t>合同款项。</w:t>
      </w:r>
    </w:p>
    <w:p w14:paraId="141A13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tLeast"/>
        <w:ind w:left="0" w:right="0" w:firstLine="475"/>
        <w:jc w:val="both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运维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服务评价结果为优秀，全额支付</w:t>
      </w:r>
      <w:r>
        <w:rPr>
          <w:rFonts w:hint="eastAsia" w:ascii="Times New Roman" w:hAnsi="Times New Roman" w:eastAsia="宋体" w:cs="Times New Roman"/>
          <w:sz w:val="24"/>
          <w:szCs w:val="24"/>
        </w:rPr>
        <w:t>绩效管理系统运维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服务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合同款；</w:t>
      </w:r>
    </w:p>
    <w:p w14:paraId="03E2A5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tLeast"/>
        <w:ind w:left="0" w:right="0" w:firstLine="475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运维服务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评价结果为良好，支付85%</w:t>
      </w:r>
      <w:r>
        <w:rPr>
          <w:rFonts w:hint="eastAsia" w:ascii="Times New Roman" w:hAnsi="Times New Roman" w:eastAsia="宋体" w:cs="Times New Roman"/>
          <w:sz w:val="24"/>
          <w:szCs w:val="24"/>
        </w:rPr>
        <w:t>绩效管理系统运维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服务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合同款；</w:t>
      </w:r>
    </w:p>
    <w:p w14:paraId="4702EF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tLeast"/>
        <w:ind w:left="0" w:right="0" w:firstLine="475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运维服务评价结果为合格，支付70%</w:t>
      </w:r>
      <w:r>
        <w:rPr>
          <w:rFonts w:hint="eastAsia" w:ascii="Times New Roman" w:hAnsi="Times New Roman" w:eastAsia="宋体" w:cs="Times New Roman"/>
          <w:sz w:val="24"/>
          <w:szCs w:val="24"/>
        </w:rPr>
        <w:t>绩效管理系统运维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合同款；</w:t>
      </w:r>
    </w:p>
    <w:p w14:paraId="3ED96F2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tLeast"/>
        <w:ind w:left="0" w:right="0" w:firstLine="475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运维评价结果为不合格，甲方有权拒付</w:t>
      </w:r>
      <w:r>
        <w:rPr>
          <w:rFonts w:hint="eastAsia" w:ascii="Times New Roman" w:hAnsi="Times New Roman" w:eastAsia="宋体" w:cs="Times New Roman"/>
          <w:sz w:val="24"/>
          <w:szCs w:val="24"/>
        </w:rPr>
        <w:t>绩效管理系统运维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合同款。</w:t>
      </w:r>
    </w:p>
    <w:p w14:paraId="0267A168">
      <w:pP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page"/>
      </w:r>
    </w:p>
    <w:p w14:paraId="4E43B37E">
      <w:pPr>
        <w:bidi w:val="0"/>
        <w:jc w:val="left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附件1：</w:t>
      </w:r>
    </w:p>
    <w:p w14:paraId="486F263B">
      <w:pPr>
        <w:bidi w:val="0"/>
        <w:jc w:val="center"/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海南医科大学第二附属医院</w:t>
      </w:r>
    </w:p>
    <w:p w14:paraId="1C4D253D">
      <w:pPr>
        <w:bidi w:val="0"/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 w:bidi="ar"/>
        </w:rPr>
        <w:t>绩效管理系统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运维服务评价表</w:t>
      </w:r>
    </w:p>
    <w:tbl>
      <w:tblPr>
        <w:tblStyle w:val="8"/>
        <w:tblW w:w="89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03"/>
        <w:gridCol w:w="1288"/>
        <w:gridCol w:w="6259"/>
      </w:tblGrid>
      <w:tr w14:paraId="04566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25" w:type="dxa"/>
            <w:gridSpan w:val="2"/>
            <w:vAlign w:val="center"/>
          </w:tcPr>
          <w:p w14:paraId="00A0A7A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承建供应商</w:t>
            </w:r>
          </w:p>
        </w:tc>
        <w:tc>
          <w:tcPr>
            <w:tcW w:w="7547" w:type="dxa"/>
            <w:gridSpan w:val="2"/>
            <w:vAlign w:val="center"/>
          </w:tcPr>
          <w:p w14:paraId="3B53A64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9377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8972" w:type="dxa"/>
            <w:gridSpan w:val="4"/>
            <w:vAlign w:val="center"/>
          </w:tcPr>
          <w:p w14:paraId="3117C16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分规则：本评价表10个评分项，每个评分项0~10分，满分合计100分。各评分项得分合计≤70，本项目维保服务不合格，不予支付绩效管理系统运维服务合同价款；70＜各评分项得分合计≤80，项目维保服务合格，支付70%绩效管理系统运维服务合同价款；80＜各评分项得分合计≤90，维保服务良好，支付85%绩效管理系统运维服务合同价款；90＜各评分项得分合计≤100，维保服务优秀，支付100%绩效管理系统运维服务合同款项；</w:t>
            </w:r>
          </w:p>
        </w:tc>
      </w:tr>
      <w:tr w14:paraId="1F4524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22" w:type="dxa"/>
            <w:vAlign w:val="center"/>
          </w:tcPr>
          <w:p w14:paraId="1C75CC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91" w:type="dxa"/>
            <w:gridSpan w:val="2"/>
            <w:vAlign w:val="center"/>
          </w:tcPr>
          <w:p w14:paraId="74CCBB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评价维度</w:t>
            </w:r>
          </w:p>
        </w:tc>
        <w:tc>
          <w:tcPr>
            <w:tcW w:w="6259" w:type="dxa"/>
          </w:tcPr>
          <w:p w14:paraId="583427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各评分项0~10分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50C500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2" w:type="dxa"/>
            <w:vAlign w:val="top"/>
          </w:tcPr>
          <w:p w14:paraId="75963B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91" w:type="dxa"/>
            <w:gridSpan w:val="2"/>
            <w:vAlign w:val="top"/>
          </w:tcPr>
          <w:p w14:paraId="4C8286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系统安全性</w:t>
            </w:r>
          </w:p>
        </w:tc>
        <w:tc>
          <w:tcPr>
            <w:tcW w:w="6259" w:type="dxa"/>
            <w:vAlign w:val="top"/>
          </w:tcPr>
          <w:p w14:paraId="222275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2B9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2" w:type="dxa"/>
            <w:vAlign w:val="top"/>
          </w:tcPr>
          <w:p w14:paraId="41513F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91" w:type="dxa"/>
            <w:gridSpan w:val="2"/>
            <w:vAlign w:val="top"/>
          </w:tcPr>
          <w:p w14:paraId="775B0CC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系统稳定性</w:t>
            </w:r>
          </w:p>
        </w:tc>
        <w:tc>
          <w:tcPr>
            <w:tcW w:w="6259" w:type="dxa"/>
            <w:vAlign w:val="top"/>
          </w:tcPr>
          <w:p w14:paraId="6C86BB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D99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2" w:type="dxa"/>
            <w:vAlign w:val="top"/>
          </w:tcPr>
          <w:p w14:paraId="4C0FFD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91" w:type="dxa"/>
            <w:gridSpan w:val="2"/>
            <w:vAlign w:val="top"/>
          </w:tcPr>
          <w:p w14:paraId="0DCD4D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系统流畅性</w:t>
            </w:r>
          </w:p>
        </w:tc>
        <w:tc>
          <w:tcPr>
            <w:tcW w:w="6259" w:type="dxa"/>
            <w:vAlign w:val="top"/>
          </w:tcPr>
          <w:p w14:paraId="657FD8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61B8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2" w:type="dxa"/>
            <w:vAlign w:val="top"/>
          </w:tcPr>
          <w:p w14:paraId="4AB89A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91" w:type="dxa"/>
            <w:gridSpan w:val="2"/>
            <w:vAlign w:val="top"/>
          </w:tcPr>
          <w:p w14:paraId="7BE511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系统连续性</w:t>
            </w:r>
          </w:p>
        </w:tc>
        <w:tc>
          <w:tcPr>
            <w:tcW w:w="6259" w:type="dxa"/>
            <w:vAlign w:val="top"/>
          </w:tcPr>
          <w:p w14:paraId="247ED9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D2C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2" w:type="dxa"/>
            <w:vAlign w:val="top"/>
          </w:tcPr>
          <w:p w14:paraId="561367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91" w:type="dxa"/>
            <w:gridSpan w:val="2"/>
            <w:vAlign w:val="top"/>
          </w:tcPr>
          <w:p w14:paraId="50B9D9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平均无故障时间</w:t>
            </w:r>
          </w:p>
        </w:tc>
        <w:tc>
          <w:tcPr>
            <w:tcW w:w="6259" w:type="dxa"/>
            <w:vAlign w:val="top"/>
          </w:tcPr>
          <w:p w14:paraId="05B675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79E9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2" w:type="dxa"/>
            <w:vAlign w:val="top"/>
          </w:tcPr>
          <w:p w14:paraId="7F572E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91" w:type="dxa"/>
            <w:gridSpan w:val="2"/>
            <w:vAlign w:val="top"/>
          </w:tcPr>
          <w:p w14:paraId="4E018A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故障响应时间</w:t>
            </w:r>
          </w:p>
        </w:tc>
        <w:tc>
          <w:tcPr>
            <w:tcW w:w="6259" w:type="dxa"/>
            <w:vAlign w:val="top"/>
          </w:tcPr>
          <w:p w14:paraId="0B1D15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EC26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2" w:type="dxa"/>
            <w:vAlign w:val="top"/>
          </w:tcPr>
          <w:p w14:paraId="306C7A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91" w:type="dxa"/>
            <w:gridSpan w:val="2"/>
            <w:vAlign w:val="top"/>
          </w:tcPr>
          <w:p w14:paraId="2CA048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故障恢复速度</w:t>
            </w:r>
          </w:p>
        </w:tc>
        <w:tc>
          <w:tcPr>
            <w:tcW w:w="6259" w:type="dxa"/>
            <w:vAlign w:val="top"/>
          </w:tcPr>
          <w:p w14:paraId="7840EE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46CD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2" w:type="dxa"/>
            <w:vAlign w:val="top"/>
          </w:tcPr>
          <w:p w14:paraId="69A879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91" w:type="dxa"/>
            <w:gridSpan w:val="2"/>
            <w:vAlign w:val="top"/>
          </w:tcPr>
          <w:p w14:paraId="65CCB5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故障改进评价</w:t>
            </w:r>
          </w:p>
        </w:tc>
        <w:tc>
          <w:tcPr>
            <w:tcW w:w="6259" w:type="dxa"/>
            <w:vAlign w:val="top"/>
          </w:tcPr>
          <w:p w14:paraId="16D9D2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CF6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2" w:type="dxa"/>
            <w:vAlign w:val="top"/>
          </w:tcPr>
          <w:p w14:paraId="44E26D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991" w:type="dxa"/>
            <w:gridSpan w:val="2"/>
            <w:vAlign w:val="top"/>
          </w:tcPr>
          <w:p w14:paraId="056803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系统日常维护</w:t>
            </w:r>
          </w:p>
        </w:tc>
        <w:tc>
          <w:tcPr>
            <w:tcW w:w="6259" w:type="dxa"/>
            <w:vAlign w:val="top"/>
          </w:tcPr>
          <w:p w14:paraId="1FF00C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6EA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2" w:type="dxa"/>
            <w:vAlign w:val="top"/>
          </w:tcPr>
          <w:p w14:paraId="23B825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91" w:type="dxa"/>
            <w:gridSpan w:val="2"/>
            <w:vAlign w:val="top"/>
          </w:tcPr>
          <w:p w14:paraId="3AC576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日常需求响应</w:t>
            </w:r>
          </w:p>
        </w:tc>
        <w:tc>
          <w:tcPr>
            <w:tcW w:w="6259" w:type="dxa"/>
            <w:vAlign w:val="top"/>
          </w:tcPr>
          <w:p w14:paraId="5F70A2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5B39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13" w:type="dxa"/>
            <w:gridSpan w:val="3"/>
            <w:vAlign w:val="top"/>
          </w:tcPr>
          <w:p w14:paraId="3B561D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6259" w:type="dxa"/>
            <w:vAlign w:val="top"/>
          </w:tcPr>
          <w:p w14:paraId="321037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FC0A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8972" w:type="dxa"/>
            <w:gridSpan w:val="4"/>
          </w:tcPr>
          <w:p w14:paraId="06D5C17C">
            <w:pPr>
              <w:pStyle w:val="3"/>
              <w:widowControl w:val="0"/>
              <w:spacing w:before="87"/>
              <w:ind w:lef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评价意见：</w:t>
            </w:r>
          </w:p>
          <w:p w14:paraId="0FE5E11E">
            <w:pPr>
              <w:pStyle w:val="3"/>
              <w:widowControl w:val="0"/>
              <w:spacing w:before="87"/>
              <w:ind w:lef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D17ACF">
            <w:pPr>
              <w:pStyle w:val="3"/>
              <w:widowControl w:val="0"/>
              <w:spacing w:before="87"/>
              <w:ind w:lef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A18C02A">
            <w:pPr>
              <w:pStyle w:val="3"/>
              <w:widowControl w:val="0"/>
              <w:spacing w:before="87"/>
              <w:ind w:lef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07F44C">
            <w:pPr>
              <w:pStyle w:val="3"/>
              <w:widowControl w:val="0"/>
              <w:spacing w:before="87"/>
              <w:ind w:lef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4C85B7">
            <w:pPr>
              <w:pStyle w:val="3"/>
              <w:widowControl w:val="0"/>
              <w:spacing w:before="87"/>
              <w:ind w:lef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897FD3">
            <w:pPr>
              <w:pStyle w:val="3"/>
              <w:widowControl w:val="0"/>
              <w:spacing w:before="87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4E0694A0">
            <w:pPr>
              <w:pStyle w:val="3"/>
              <w:widowControl w:val="0"/>
              <w:spacing w:before="8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签字：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日期：      年    月   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</w:t>
            </w:r>
          </w:p>
        </w:tc>
      </w:tr>
    </w:tbl>
    <w:p w14:paraId="101B9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2190B"/>
    <w:rsid w:val="002A030F"/>
    <w:rsid w:val="09042092"/>
    <w:rsid w:val="181D2B9D"/>
    <w:rsid w:val="18FE560D"/>
    <w:rsid w:val="1AEE0821"/>
    <w:rsid w:val="1D4E37F9"/>
    <w:rsid w:val="22743D02"/>
    <w:rsid w:val="22E2190B"/>
    <w:rsid w:val="27BA5D13"/>
    <w:rsid w:val="2E7A5513"/>
    <w:rsid w:val="2F7A243F"/>
    <w:rsid w:val="319A1811"/>
    <w:rsid w:val="32BA113B"/>
    <w:rsid w:val="332558C9"/>
    <w:rsid w:val="336B1A39"/>
    <w:rsid w:val="36F80606"/>
    <w:rsid w:val="383513E6"/>
    <w:rsid w:val="395C5344"/>
    <w:rsid w:val="3B867F31"/>
    <w:rsid w:val="3C6E5DDF"/>
    <w:rsid w:val="3DCB0822"/>
    <w:rsid w:val="3DDD0555"/>
    <w:rsid w:val="3EC040FF"/>
    <w:rsid w:val="41DD0B24"/>
    <w:rsid w:val="43574906"/>
    <w:rsid w:val="43F63E14"/>
    <w:rsid w:val="44154E24"/>
    <w:rsid w:val="45F93B7A"/>
    <w:rsid w:val="4BFA0524"/>
    <w:rsid w:val="58BA3515"/>
    <w:rsid w:val="6082719B"/>
    <w:rsid w:val="60C31295"/>
    <w:rsid w:val="62892B95"/>
    <w:rsid w:val="641A755E"/>
    <w:rsid w:val="64682077"/>
    <w:rsid w:val="68C4727A"/>
    <w:rsid w:val="69605A13"/>
    <w:rsid w:val="6B861311"/>
    <w:rsid w:val="6E535B46"/>
    <w:rsid w:val="70673B2B"/>
    <w:rsid w:val="72D51BFB"/>
    <w:rsid w:val="76CA086F"/>
    <w:rsid w:val="786A240A"/>
    <w:rsid w:val="79D57D57"/>
    <w:rsid w:val="7B005740"/>
    <w:rsid w:val="7D893333"/>
    <w:rsid w:val="7FE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widowControl/>
      <w:spacing w:before="60" w:beforeLines="0" w:after="60" w:afterLines="0" w:line="280" w:lineRule="atLeast"/>
      <w:ind w:right="291" w:firstLine="400"/>
    </w:pPr>
    <w:rPr>
      <w:rFonts w:ascii="宋体"/>
      <w:kern w:val="0"/>
    </w:rPr>
  </w:style>
  <w:style w:type="paragraph" w:styleId="6">
    <w:name w:val="Normal (Web)"/>
    <w:basedOn w:val="1"/>
    <w:qFormat/>
    <w:uiPriority w:val="0"/>
    <w:pPr>
      <w:kinsoku/>
      <w:autoSpaceDE/>
      <w:autoSpaceDN/>
      <w:adjustRightInd/>
      <w:snapToGrid/>
      <w:spacing w:before="0" w:beforeAutospacing="1" w:after="0" w:afterAutospacing="1"/>
      <w:ind w:left="0" w:right="0"/>
      <w:jc w:val="left"/>
      <w:textAlignment w:val="auto"/>
    </w:pPr>
    <w:rPr>
      <w:rFonts w:ascii="宋体" w:hAnsi="宋体" w:cs="宋体"/>
      <w:snapToGrid/>
      <w:color w:val="auto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楷体粗正文文字"/>
    <w:basedOn w:val="1"/>
    <w:next w:val="5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 w:line="480" w:lineRule="exact"/>
      <w:ind w:left="0" w:right="0" w:firstLine="560" w:firstLineChars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5</Pages>
  <Words>2293</Words>
  <Characters>2369</Characters>
  <Lines>0</Lines>
  <Paragraphs>0</Paragraphs>
  <TotalTime>8</TotalTime>
  <ScaleCrop>false</ScaleCrop>
  <LinksUpToDate>false</LinksUpToDate>
  <CharactersWithSpaces>2472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2025-03-17T02:26:00Z</dcterms:created>
  <dc:creator></dc:creator>
  <cp:lastModifiedBy></cp:lastModifiedBy>
  <dcterms:modified xsi:type="dcterms:W3CDTF">2025-09-24T09:07:11Z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A3F299CE1CBD4FCD8E282DC76C40E267_13</vt:lpwstr>
  </property>
  <property fmtid="{D5CDD505-2E9C-101B-9397-08002B2CF9AE}" pid="4" name="KSOTemplateDocerSaveRecord">
    <vt:lpwstr>eyJoZGlkIjoiZWEzMjBkYzQ0YmNjYTVmYzc4NDMzYjZjZGZiNjUyOTEiLCJ1c2VySWQiOiI2NjI1OTUwNjcifQ==</vt:lpwstr>
  </property>
</Properties>
</file>