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356A">
      <w:pPr>
        <w:jc w:val="center"/>
        <w:rPr>
          <w:rFonts w:hint="eastAsia" w:ascii="宋体" w:hAnsi="宋体" w:eastAsia="宋体" w:cs="黑体"/>
          <w:b/>
          <w:bCs/>
          <w:sz w:val="36"/>
          <w:szCs w:val="36"/>
        </w:rPr>
      </w:pPr>
      <w:r>
        <w:rPr>
          <w:rFonts w:hint="eastAsia" w:ascii="宋体" w:hAnsi="宋体" w:eastAsia="宋体" w:cs="黑体"/>
          <w:b/>
          <w:bCs/>
          <w:sz w:val="36"/>
          <w:szCs w:val="36"/>
        </w:rPr>
        <w:t>海南</w:t>
      </w:r>
      <w:r>
        <w:rPr>
          <w:rFonts w:hint="eastAsia" w:ascii="宋体" w:hAnsi="宋体" w:eastAsia="宋体" w:cs="黑体"/>
          <w:b/>
          <w:bCs/>
          <w:sz w:val="36"/>
          <w:szCs w:val="36"/>
          <w:lang w:val="en-US" w:eastAsia="zh-CN"/>
        </w:rPr>
        <w:t>医科大学</w:t>
      </w:r>
      <w:r>
        <w:rPr>
          <w:rFonts w:hint="eastAsia" w:ascii="宋体" w:hAnsi="宋体" w:eastAsia="宋体" w:cs="黑体"/>
          <w:b/>
          <w:bCs/>
          <w:sz w:val="36"/>
          <w:szCs w:val="36"/>
        </w:rPr>
        <w:t>第二附属医院</w:t>
      </w:r>
      <w:r>
        <w:rPr>
          <w:rFonts w:hint="eastAsia" w:ascii="宋体" w:hAnsi="宋体" w:eastAsia="宋体" w:cs="黑体"/>
          <w:b/>
          <w:bCs/>
          <w:color w:val="auto"/>
          <w:sz w:val="36"/>
          <w:szCs w:val="36"/>
        </w:rPr>
        <w:t>手术护理系统</w:t>
      </w:r>
      <w:r>
        <w:rPr>
          <w:rFonts w:hint="eastAsia" w:ascii="宋体" w:hAnsi="宋体" w:eastAsia="宋体" w:cs="黑体"/>
          <w:b/>
          <w:bCs/>
          <w:sz w:val="36"/>
          <w:szCs w:val="36"/>
        </w:rPr>
        <w:t>项目需求书</w:t>
      </w:r>
    </w:p>
    <w:p w14:paraId="29F99AD6">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1项目背景</w:t>
      </w:r>
    </w:p>
    <w:p w14:paraId="315486C0">
      <w:pPr>
        <w:spacing w:line="360" w:lineRule="auto"/>
        <w:ind w:firstLine="480" w:firstLineChars="200"/>
        <w:rPr>
          <w:rFonts w:hint="eastAsia" w:ascii="宋体" w:hAnsi="宋体" w:eastAsia="宋体" w:cs="Times New Roman"/>
          <w:sz w:val="24"/>
        </w:rPr>
      </w:pPr>
      <w:r>
        <w:rPr>
          <w:rFonts w:hint="default" w:ascii="宋体" w:hAnsi="宋体" w:eastAsia="宋体" w:cs="Times New Roman"/>
          <w:sz w:val="24"/>
        </w:rPr>
        <w:t>手术室是医院实施手术抢救与诊疗的核心场所，其管理质量与运行效率直接影响手术科室的临床安全与服务效能，是医院运营管理的关键环节。</w:t>
      </w:r>
    </w:p>
    <w:p w14:paraId="31B0475A">
      <w:pPr>
        <w:spacing w:line="360" w:lineRule="auto"/>
        <w:ind w:firstLine="480" w:firstLineChars="200"/>
        <w:rPr>
          <w:rFonts w:hint="default" w:ascii="宋体" w:hAnsi="宋体" w:eastAsia="宋体" w:cs="Times New Roman"/>
          <w:sz w:val="24"/>
          <w:lang w:val="en-US" w:eastAsia="zh-CN"/>
        </w:rPr>
      </w:pPr>
      <w:r>
        <w:rPr>
          <w:rFonts w:hint="default" w:ascii="宋体" w:hAnsi="宋体" w:eastAsia="宋体" w:cs="Times New Roman"/>
          <w:sz w:val="24"/>
        </w:rPr>
        <w:t>随着我国分级诊疗政策</w:t>
      </w:r>
      <w:r>
        <w:rPr>
          <w:rFonts w:hint="eastAsia" w:ascii="宋体" w:hAnsi="宋体" w:eastAsia="宋体" w:cs="Times New Roman"/>
          <w:sz w:val="24"/>
          <w:lang w:val="en-US" w:eastAsia="zh-CN"/>
        </w:rPr>
        <w:t>的</w:t>
      </w:r>
      <w:r>
        <w:rPr>
          <w:rFonts w:hint="default" w:ascii="宋体" w:hAnsi="宋体" w:eastAsia="宋体" w:cs="Times New Roman"/>
          <w:sz w:val="24"/>
        </w:rPr>
        <w:t>推进，手术专科化、精细化发展，进一步拓展了手术室</w:t>
      </w:r>
      <w:r>
        <w:rPr>
          <w:rFonts w:hint="eastAsia" w:ascii="宋体" w:hAnsi="宋体" w:eastAsia="宋体" w:cs="Times New Roman"/>
          <w:sz w:val="24"/>
        </w:rPr>
        <w:t>工作内涵</w:t>
      </w:r>
      <w:r>
        <w:rPr>
          <w:rFonts w:hint="default" w:ascii="宋体" w:hAnsi="宋体" w:eastAsia="宋体" w:cs="Times New Roman"/>
          <w:sz w:val="24"/>
        </w:rPr>
        <w:t>，</w:t>
      </w:r>
      <w:r>
        <w:rPr>
          <w:rFonts w:hint="eastAsia" w:ascii="宋体" w:hAnsi="宋体" w:eastAsia="宋体" w:cs="Times New Roman"/>
          <w:sz w:val="24"/>
          <w:lang w:val="en-US" w:eastAsia="zh-CN"/>
        </w:rPr>
        <w:t>增加了</w:t>
      </w:r>
      <w:r>
        <w:rPr>
          <w:rFonts w:hint="default" w:ascii="宋体" w:hAnsi="宋体" w:eastAsia="宋体" w:cs="Times New Roman"/>
          <w:sz w:val="24"/>
        </w:rPr>
        <w:t>管理复杂度。传统管理模式难以适应手术室变革需求，</w:t>
      </w:r>
      <w:r>
        <w:rPr>
          <w:rFonts w:hint="eastAsia" w:ascii="宋体" w:hAnsi="宋体" w:eastAsia="宋体" w:cs="Times New Roman"/>
          <w:sz w:val="24"/>
        </w:rPr>
        <w:t>为提升手术室精细化管理水平，强化对人员、物品及服务的安全、质量与效率监管，</w:t>
      </w:r>
      <w:r>
        <w:rPr>
          <w:rFonts w:hint="eastAsia" w:ascii="宋体" w:hAnsi="宋体" w:eastAsia="宋体" w:cs="Times New Roman"/>
          <w:sz w:val="24"/>
          <w:lang w:val="en-US" w:eastAsia="zh-CN"/>
        </w:rPr>
        <w:t>故开展本项目。</w:t>
      </w:r>
    </w:p>
    <w:p w14:paraId="664BE224">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2建设目标</w:t>
      </w:r>
    </w:p>
    <w:p w14:paraId="2E1943C1">
      <w:pPr>
        <w:pStyle w:val="14"/>
        <w:spacing w:line="360" w:lineRule="auto"/>
        <w:ind w:firstLine="480" w:firstLineChars="200"/>
        <w:rPr>
          <w:rFonts w:hint="eastAsia" w:ascii="宋体" w:hAnsi="宋体" w:eastAsia="宋体" w:cs="Times New Roman"/>
          <w:szCs w:val="24"/>
          <w:lang w:bidi="ar"/>
        </w:rPr>
      </w:pPr>
      <w:r>
        <w:rPr>
          <w:rFonts w:hint="eastAsia" w:ascii="宋体" w:hAnsi="宋体" w:eastAsia="宋体" w:cs="Times New Roman"/>
          <w:szCs w:val="24"/>
          <w:lang w:bidi="ar"/>
        </w:rPr>
        <w:t>以手术护理业务为核心，</w:t>
      </w:r>
      <w:r>
        <w:rPr>
          <w:rFonts w:hint="eastAsia" w:ascii="宋体" w:hAnsi="宋体" w:eastAsia="宋体" w:cs="Times New Roman"/>
          <w:szCs w:val="24"/>
          <w:lang w:val="en-US" w:eastAsia="zh-CN" w:bidi="ar"/>
        </w:rPr>
        <w:t>实现</w:t>
      </w:r>
      <w:r>
        <w:rPr>
          <w:rFonts w:hint="eastAsia" w:ascii="宋体" w:hAnsi="宋体" w:eastAsia="宋体" w:cs="Times New Roman"/>
          <w:szCs w:val="24"/>
          <w:lang w:bidi="ar"/>
        </w:rPr>
        <w:t>患者</w:t>
      </w:r>
      <w:r>
        <w:rPr>
          <w:rFonts w:hint="eastAsia" w:ascii="宋体" w:hAnsi="宋体" w:eastAsia="宋体" w:cs="Times New Roman"/>
          <w:szCs w:val="24"/>
          <w:lang w:val="en-US" w:eastAsia="zh-CN" w:bidi="ar"/>
        </w:rPr>
        <w:t>手术相关</w:t>
      </w:r>
      <w:r>
        <w:rPr>
          <w:rFonts w:hint="eastAsia" w:ascii="宋体" w:hAnsi="宋体" w:eastAsia="宋体" w:cs="Times New Roman"/>
          <w:szCs w:val="24"/>
          <w:lang w:bidi="ar"/>
        </w:rPr>
        <w:t>数据的实时快速获取、共享。</w:t>
      </w:r>
    </w:p>
    <w:p w14:paraId="5F0CD063">
      <w:pPr>
        <w:pStyle w:val="14"/>
        <w:spacing w:line="360" w:lineRule="auto"/>
        <w:ind w:firstLine="480" w:firstLineChars="200"/>
        <w:rPr>
          <w:rFonts w:hint="default" w:ascii="宋体" w:hAnsi="宋体" w:eastAsia="宋体" w:cs="Times New Roman"/>
          <w:szCs w:val="24"/>
          <w:lang w:val="en-US" w:eastAsia="zh-CN" w:bidi="ar"/>
        </w:rPr>
      </w:pPr>
      <w:r>
        <w:rPr>
          <w:rFonts w:hint="eastAsia" w:ascii="宋体" w:hAnsi="宋体" w:eastAsia="宋体" w:cs="Times New Roman"/>
          <w:szCs w:val="24"/>
          <w:lang w:val="en-US" w:eastAsia="zh-CN" w:bidi="ar"/>
        </w:rPr>
        <w:t>实现手术</w:t>
      </w:r>
      <w:r>
        <w:rPr>
          <w:rFonts w:hint="eastAsia" w:ascii="宋体" w:hAnsi="宋体" w:eastAsia="宋体" w:cs="Times New Roman"/>
          <w:szCs w:val="24"/>
          <w:lang w:bidi="ar"/>
        </w:rPr>
        <w:t>诊疗过程</w:t>
      </w:r>
      <w:r>
        <w:rPr>
          <w:rFonts w:hint="eastAsia" w:ascii="宋体" w:hAnsi="宋体" w:eastAsia="宋体" w:cs="Times New Roman"/>
          <w:szCs w:val="24"/>
          <w:lang w:val="en-US" w:eastAsia="zh-CN" w:bidi="ar"/>
        </w:rPr>
        <w:t>的</w:t>
      </w:r>
      <w:r>
        <w:rPr>
          <w:rFonts w:hint="eastAsia" w:ascii="宋体" w:hAnsi="宋体" w:eastAsia="宋体" w:cs="Times New Roman"/>
          <w:szCs w:val="24"/>
          <w:lang w:bidi="ar"/>
        </w:rPr>
        <w:t>精细化管理，</w:t>
      </w:r>
      <w:r>
        <w:rPr>
          <w:rFonts w:hint="eastAsia" w:ascii="宋体" w:hAnsi="宋体" w:eastAsia="宋体" w:cs="Times New Roman"/>
          <w:szCs w:val="24"/>
          <w:lang w:val="en-US" w:eastAsia="zh-CN" w:bidi="ar"/>
        </w:rPr>
        <w:t>实现手术</w:t>
      </w:r>
      <w:r>
        <w:rPr>
          <w:rFonts w:hint="eastAsia" w:ascii="宋体" w:hAnsi="宋体" w:eastAsia="宋体" w:cs="Times New Roman"/>
          <w:szCs w:val="24"/>
          <w:lang w:bidi="ar"/>
        </w:rPr>
        <w:t>诊疗、护理、管理、探视等医疗活动</w:t>
      </w:r>
      <w:r>
        <w:rPr>
          <w:rFonts w:hint="eastAsia" w:ascii="宋体" w:hAnsi="宋体" w:eastAsia="宋体" w:cs="Times New Roman"/>
          <w:szCs w:val="24"/>
          <w:lang w:val="en-US" w:eastAsia="zh-CN" w:bidi="ar"/>
        </w:rPr>
        <w:t>的</w:t>
      </w:r>
      <w:r>
        <w:rPr>
          <w:rFonts w:hint="eastAsia" w:ascii="宋体" w:hAnsi="宋体" w:eastAsia="宋体" w:cs="Times New Roman"/>
          <w:szCs w:val="24"/>
          <w:lang w:bidi="ar"/>
        </w:rPr>
        <w:t>整合</w:t>
      </w:r>
      <w:r>
        <w:rPr>
          <w:rFonts w:hint="eastAsia" w:ascii="宋体" w:hAnsi="宋体" w:eastAsia="宋体" w:cs="Times New Roman"/>
          <w:szCs w:val="24"/>
          <w:lang w:eastAsia="zh-CN" w:bidi="ar"/>
        </w:rPr>
        <w:t>，</w:t>
      </w:r>
      <w:r>
        <w:rPr>
          <w:rFonts w:hint="eastAsia" w:ascii="宋体" w:hAnsi="宋体" w:eastAsia="宋体" w:cs="Times New Roman"/>
          <w:szCs w:val="24"/>
          <w:lang w:bidi="ar"/>
        </w:rPr>
        <w:t>提高抢救的准确性和实效性</w:t>
      </w:r>
      <w:r>
        <w:rPr>
          <w:rFonts w:hint="eastAsia" w:ascii="宋体" w:hAnsi="宋体" w:eastAsia="宋体" w:cs="Times New Roman"/>
          <w:szCs w:val="24"/>
          <w:lang w:eastAsia="zh-CN" w:bidi="ar"/>
        </w:rPr>
        <w:t>，</w:t>
      </w:r>
      <w:r>
        <w:rPr>
          <w:rFonts w:hint="eastAsia" w:ascii="宋体" w:hAnsi="宋体" w:eastAsia="宋体" w:cs="Times New Roman"/>
          <w:szCs w:val="24"/>
          <w:lang w:bidi="ar"/>
        </w:rPr>
        <w:t>提高临床管理效能</w:t>
      </w:r>
      <w:r>
        <w:rPr>
          <w:rFonts w:hint="eastAsia" w:ascii="宋体" w:hAnsi="宋体" w:eastAsia="宋体" w:cs="Times New Roman"/>
          <w:szCs w:val="24"/>
          <w:lang w:val="en-US" w:eastAsia="zh-CN" w:bidi="ar"/>
        </w:rPr>
        <w:t>和质量，提升患者满意度。</w:t>
      </w:r>
    </w:p>
    <w:p w14:paraId="62A8A3B8">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3建设内容</w:t>
      </w:r>
    </w:p>
    <w:p w14:paraId="0320026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en-US" w:eastAsia="zh-CN"/>
        </w:rPr>
        <w:t>一</w:t>
      </w:r>
      <w:r>
        <w:rPr>
          <w:rFonts w:hint="eastAsia" w:ascii="Times New Roman" w:hAnsi="Times New Roman" w:eastAsia="宋体" w:cs="Times New Roman"/>
          <w:kern w:val="0"/>
          <w:sz w:val="24"/>
          <w:szCs w:val="24"/>
          <w:lang w:val="zh-CN"/>
        </w:rPr>
        <w:t>）本项目建设内容</w:t>
      </w:r>
      <w:r>
        <w:rPr>
          <w:rFonts w:hint="eastAsia" w:ascii="Times New Roman" w:hAnsi="Times New Roman" w:eastAsia="宋体" w:cs="Times New Roman"/>
          <w:b w:val="0"/>
          <w:bCs w:val="0"/>
          <w:color w:val="000000"/>
          <w:sz w:val="24"/>
          <w:szCs w:val="24"/>
          <w:lang w:val="en-US" w:eastAsia="zh-CN"/>
        </w:rPr>
        <w:t>包</w:t>
      </w:r>
      <w:r>
        <w:rPr>
          <w:rFonts w:hint="eastAsia" w:ascii="Times New Roman" w:hAnsi="Times New Roman" w:eastAsia="宋体" w:cs="Times New Roman"/>
          <w:b w:val="0"/>
          <w:bCs w:val="0"/>
          <w:color w:val="auto"/>
          <w:sz w:val="24"/>
          <w:szCs w:val="24"/>
          <w:lang w:val="en-US" w:eastAsia="zh-CN"/>
        </w:rPr>
        <w:t>括软硬件的供货</w:t>
      </w:r>
      <w:r>
        <w:rPr>
          <w:rFonts w:hint="eastAsia" w:ascii="Times New Roman" w:hAnsi="Times New Roman" w:eastAsia="宋体" w:cs="Times New Roman"/>
          <w:b w:val="0"/>
          <w:bCs w:val="0"/>
          <w:color w:val="000000"/>
          <w:sz w:val="24"/>
          <w:szCs w:val="24"/>
          <w:lang w:val="en-US" w:eastAsia="zh-CN"/>
        </w:rPr>
        <w:t>、安装、调试、运行、维护、技术支持及保修服务等，建设内容清单如下：</w:t>
      </w:r>
    </w:p>
    <w:tbl>
      <w:tblPr>
        <w:tblStyle w:val="17"/>
        <w:tblW w:w="854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195"/>
        <w:gridCol w:w="942"/>
        <w:gridCol w:w="1633"/>
        <w:gridCol w:w="2456"/>
      </w:tblGrid>
      <w:tr w14:paraId="35FD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46" w:type="dxa"/>
            <w:gridSpan w:val="5"/>
            <w:noWrap/>
          </w:tcPr>
          <w:p w14:paraId="3933661B">
            <w:pPr>
              <w:rPr>
                <w:rFonts w:hint="eastAsia" w:ascii="宋体" w:hAnsi="宋体" w:eastAsia="宋体" w:cs="宋体"/>
                <w:b/>
                <w:bCs/>
                <w:szCs w:val="21"/>
              </w:rPr>
            </w:pPr>
            <w:r>
              <w:rPr>
                <w:rFonts w:hint="eastAsia" w:ascii="宋体" w:hAnsi="宋体" w:eastAsia="宋体" w:cs="宋体"/>
                <w:b/>
                <w:bCs/>
                <w:szCs w:val="21"/>
              </w:rPr>
              <w:t>软件部分：</w:t>
            </w:r>
          </w:p>
        </w:tc>
      </w:tr>
      <w:tr w14:paraId="2B9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20" w:type="dxa"/>
            <w:noWrap/>
          </w:tcPr>
          <w:p w14:paraId="32BCE068">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名称</w:t>
            </w:r>
          </w:p>
        </w:tc>
        <w:tc>
          <w:tcPr>
            <w:tcW w:w="1195" w:type="dxa"/>
            <w:noWrap/>
          </w:tcPr>
          <w:p w14:paraId="4F99ED3B">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数量</w:t>
            </w:r>
          </w:p>
        </w:tc>
        <w:tc>
          <w:tcPr>
            <w:tcW w:w="942" w:type="dxa"/>
            <w:noWrap/>
          </w:tcPr>
          <w:p w14:paraId="576E8CC7">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单位</w:t>
            </w:r>
          </w:p>
        </w:tc>
        <w:tc>
          <w:tcPr>
            <w:tcW w:w="1633" w:type="dxa"/>
            <w:noWrap/>
          </w:tcPr>
          <w:p w14:paraId="6DC67AD7">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最高限价（元）</w:t>
            </w:r>
          </w:p>
        </w:tc>
        <w:tc>
          <w:tcPr>
            <w:tcW w:w="2456" w:type="dxa"/>
            <w:noWrap/>
          </w:tcPr>
          <w:p w14:paraId="052209F9">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备注</w:t>
            </w:r>
          </w:p>
        </w:tc>
      </w:tr>
      <w:tr w14:paraId="66A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20" w:type="dxa"/>
            <w:noWrap/>
          </w:tcPr>
          <w:p w14:paraId="285D2187">
            <w:pPr>
              <w:rPr>
                <w:rFonts w:hint="eastAsia" w:ascii="宋体" w:hAnsi="宋体" w:eastAsia="宋体" w:cs="宋体"/>
                <w:b/>
                <w:bCs/>
                <w:szCs w:val="21"/>
              </w:rPr>
            </w:pPr>
            <w:r>
              <w:rPr>
                <w:rFonts w:hint="eastAsia" w:ascii="宋体" w:hAnsi="宋体" w:eastAsia="宋体" w:cs="宋体"/>
                <w:b/>
                <w:bCs/>
                <w:szCs w:val="21"/>
              </w:rPr>
              <w:t>手术护理信息系统</w:t>
            </w:r>
          </w:p>
        </w:tc>
        <w:tc>
          <w:tcPr>
            <w:tcW w:w="1195" w:type="dxa"/>
            <w:noWrap/>
          </w:tcPr>
          <w:p w14:paraId="716CA03D">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942" w:type="dxa"/>
            <w:noWrap/>
          </w:tcPr>
          <w:p w14:paraId="27DBC41D">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套</w:t>
            </w:r>
          </w:p>
        </w:tc>
        <w:tc>
          <w:tcPr>
            <w:tcW w:w="1633" w:type="dxa"/>
            <w:noWrap/>
          </w:tcPr>
          <w:p w14:paraId="2AD270BE">
            <w:pPr>
              <w:rPr>
                <w:rFonts w:hint="eastAsia" w:ascii="宋体" w:hAnsi="宋体" w:eastAsia="宋体" w:cs="宋体"/>
                <w:b/>
                <w:bCs/>
                <w:szCs w:val="21"/>
                <w:lang w:val="en-US" w:eastAsia="zh-CN"/>
              </w:rPr>
            </w:pPr>
          </w:p>
        </w:tc>
        <w:tc>
          <w:tcPr>
            <w:tcW w:w="2456" w:type="dxa"/>
            <w:noWrap/>
          </w:tcPr>
          <w:p w14:paraId="7C6C8D50">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须与医院相关设备和系统对接。</w:t>
            </w:r>
          </w:p>
        </w:tc>
      </w:tr>
    </w:tbl>
    <w:p w14:paraId="7BC19DF2">
      <w:pPr>
        <w:rPr>
          <w:rFonts w:hint="eastAsia" w:ascii="宋体" w:hAnsi="宋体" w:eastAsia="宋体"/>
        </w:rPr>
      </w:pPr>
    </w:p>
    <w:p w14:paraId="5D17B221">
      <w:pPr>
        <w:rPr>
          <w:rFonts w:hint="eastAsia" w:ascii="宋体" w:hAnsi="宋体" w:eastAsia="宋体"/>
        </w:rPr>
      </w:pPr>
    </w:p>
    <w:tbl>
      <w:tblPr>
        <w:tblStyle w:val="1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57"/>
        <w:gridCol w:w="2683"/>
        <w:gridCol w:w="709"/>
        <w:gridCol w:w="850"/>
        <w:gridCol w:w="992"/>
        <w:gridCol w:w="1187"/>
      </w:tblGrid>
      <w:tr w14:paraId="1B37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553" w:type="dxa"/>
            <w:gridSpan w:val="7"/>
            <w:noWrap/>
            <w:vAlign w:val="center"/>
          </w:tcPr>
          <w:p w14:paraId="58BA15BE">
            <w:pPr>
              <w:jc w:val="both"/>
              <w:rPr>
                <w:rFonts w:hint="default" w:ascii="宋体" w:hAnsi="宋体" w:eastAsia="宋体" w:cs="宋体"/>
                <w:b/>
                <w:bCs/>
                <w:szCs w:val="21"/>
                <w:lang w:val="en-US" w:eastAsia="zh-CN"/>
              </w:rPr>
            </w:pPr>
            <w:r>
              <w:rPr>
                <w:rFonts w:hint="eastAsia" w:ascii="宋体" w:hAnsi="宋体" w:eastAsia="宋体" w:cs="宋体"/>
                <w:b/>
                <w:bCs/>
                <w:szCs w:val="21"/>
                <w:lang w:val="en-US" w:eastAsia="zh-CN"/>
              </w:rPr>
              <w:t>硬件部分：</w:t>
            </w:r>
          </w:p>
        </w:tc>
      </w:tr>
      <w:tr w14:paraId="5439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75" w:type="dxa"/>
            <w:noWrap/>
            <w:vAlign w:val="center"/>
          </w:tcPr>
          <w:p w14:paraId="1447656C">
            <w:pPr>
              <w:jc w:val="center"/>
              <w:rPr>
                <w:rFonts w:hint="eastAsia" w:ascii="宋体" w:hAnsi="宋体" w:eastAsia="宋体" w:cs="宋体"/>
                <w:b/>
                <w:bCs/>
                <w:szCs w:val="21"/>
              </w:rPr>
            </w:pPr>
            <w:r>
              <w:rPr>
                <w:rFonts w:hint="eastAsia" w:ascii="宋体" w:hAnsi="宋体" w:eastAsia="宋体" w:cs="宋体"/>
                <w:b/>
                <w:bCs/>
                <w:szCs w:val="21"/>
              </w:rPr>
              <w:t>序号</w:t>
            </w:r>
          </w:p>
        </w:tc>
        <w:tc>
          <w:tcPr>
            <w:tcW w:w="1357" w:type="dxa"/>
            <w:vAlign w:val="center"/>
          </w:tcPr>
          <w:p w14:paraId="18BD54E7">
            <w:pPr>
              <w:jc w:val="center"/>
              <w:rPr>
                <w:rFonts w:hint="eastAsia" w:ascii="宋体" w:hAnsi="宋体" w:eastAsia="宋体" w:cs="宋体"/>
                <w:b/>
                <w:bCs/>
                <w:szCs w:val="21"/>
              </w:rPr>
            </w:pPr>
            <w:r>
              <w:rPr>
                <w:rFonts w:hint="eastAsia" w:ascii="宋体" w:hAnsi="宋体" w:eastAsia="宋体" w:cs="宋体"/>
                <w:b/>
                <w:bCs/>
                <w:szCs w:val="21"/>
              </w:rPr>
              <w:t>产品名称</w:t>
            </w:r>
          </w:p>
        </w:tc>
        <w:tc>
          <w:tcPr>
            <w:tcW w:w="2683" w:type="dxa"/>
            <w:vAlign w:val="center"/>
          </w:tcPr>
          <w:p w14:paraId="727B3657">
            <w:pPr>
              <w:jc w:val="center"/>
              <w:rPr>
                <w:rFonts w:hint="eastAsia" w:ascii="宋体" w:hAnsi="宋体" w:eastAsia="宋体" w:cs="宋体"/>
                <w:b/>
                <w:bCs/>
                <w:szCs w:val="21"/>
              </w:rPr>
            </w:pPr>
            <w:r>
              <w:rPr>
                <w:rFonts w:hint="eastAsia" w:ascii="宋体" w:hAnsi="宋体" w:eastAsia="宋体" w:cs="宋体"/>
                <w:b/>
                <w:bCs/>
                <w:szCs w:val="21"/>
              </w:rPr>
              <w:t>参考配置</w:t>
            </w:r>
          </w:p>
        </w:tc>
        <w:tc>
          <w:tcPr>
            <w:tcW w:w="709" w:type="dxa"/>
            <w:vAlign w:val="center"/>
          </w:tcPr>
          <w:p w14:paraId="5911D188">
            <w:pPr>
              <w:jc w:val="center"/>
              <w:rPr>
                <w:rFonts w:hint="eastAsia" w:ascii="宋体" w:hAnsi="宋体" w:eastAsia="宋体" w:cs="宋体"/>
                <w:b/>
                <w:bCs/>
                <w:szCs w:val="21"/>
              </w:rPr>
            </w:pPr>
            <w:r>
              <w:rPr>
                <w:rFonts w:hint="eastAsia" w:ascii="宋体" w:hAnsi="宋体" w:eastAsia="宋体" w:cs="宋体"/>
                <w:b/>
                <w:bCs/>
                <w:szCs w:val="21"/>
              </w:rPr>
              <w:t>数量</w:t>
            </w:r>
          </w:p>
        </w:tc>
        <w:tc>
          <w:tcPr>
            <w:tcW w:w="850" w:type="dxa"/>
            <w:vAlign w:val="center"/>
          </w:tcPr>
          <w:p w14:paraId="3BAE2B04">
            <w:pPr>
              <w:jc w:val="center"/>
              <w:rPr>
                <w:rFonts w:hint="eastAsia" w:ascii="宋体" w:hAnsi="宋体" w:eastAsia="宋体" w:cs="宋体"/>
                <w:b/>
                <w:bCs/>
                <w:szCs w:val="21"/>
              </w:rPr>
            </w:pPr>
            <w:r>
              <w:rPr>
                <w:rFonts w:hint="eastAsia" w:ascii="宋体" w:hAnsi="宋体" w:eastAsia="宋体" w:cs="宋体"/>
                <w:b/>
                <w:bCs/>
                <w:szCs w:val="21"/>
              </w:rPr>
              <w:t>单位</w:t>
            </w:r>
          </w:p>
        </w:tc>
        <w:tc>
          <w:tcPr>
            <w:tcW w:w="992" w:type="dxa"/>
            <w:noWrap/>
            <w:vAlign w:val="center"/>
          </w:tcPr>
          <w:p w14:paraId="38644123">
            <w:pPr>
              <w:jc w:val="center"/>
              <w:rPr>
                <w:rFonts w:hint="eastAsia" w:ascii="宋体" w:hAnsi="宋体" w:eastAsia="宋体" w:cs="宋体"/>
                <w:b/>
                <w:bCs/>
                <w:szCs w:val="21"/>
                <w:lang w:eastAsia="zh-CN"/>
              </w:rPr>
            </w:pPr>
            <w:r>
              <w:rPr>
                <w:rFonts w:hint="eastAsia" w:ascii="宋体" w:hAnsi="宋体" w:eastAsia="宋体" w:cs="宋体"/>
                <w:b/>
                <w:bCs/>
                <w:szCs w:val="21"/>
              </w:rPr>
              <w:t>单价</w:t>
            </w:r>
            <w:r>
              <w:rPr>
                <w:rFonts w:hint="eastAsia" w:ascii="宋体" w:hAnsi="宋体" w:eastAsia="宋体" w:cs="宋体"/>
                <w:b/>
                <w:bCs/>
                <w:szCs w:val="21"/>
                <w:lang w:val="en-US" w:eastAsia="zh-CN"/>
              </w:rPr>
              <w:t>最高限价</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元</w:t>
            </w:r>
            <w:r>
              <w:rPr>
                <w:rFonts w:hint="eastAsia" w:ascii="宋体" w:hAnsi="宋体" w:eastAsia="宋体" w:cs="宋体"/>
                <w:b/>
                <w:bCs/>
                <w:szCs w:val="21"/>
                <w:lang w:eastAsia="zh-CN"/>
              </w:rPr>
              <w:t>）</w:t>
            </w:r>
          </w:p>
        </w:tc>
        <w:tc>
          <w:tcPr>
            <w:tcW w:w="1187" w:type="dxa"/>
            <w:noWrap/>
            <w:vAlign w:val="center"/>
          </w:tcPr>
          <w:p w14:paraId="38BB9FD4">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合计</w:t>
            </w:r>
          </w:p>
        </w:tc>
      </w:tr>
      <w:tr w14:paraId="629B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5" w:type="dxa"/>
            <w:noWrap/>
            <w:vAlign w:val="center"/>
          </w:tcPr>
          <w:p w14:paraId="30005841">
            <w:pPr>
              <w:pStyle w:val="22"/>
              <w:numPr>
                <w:ilvl w:val="0"/>
                <w:numId w:val="3"/>
              </w:numPr>
              <w:ind w:firstLineChars="0"/>
              <w:jc w:val="center"/>
              <w:rPr>
                <w:rFonts w:hint="eastAsia" w:ascii="宋体" w:hAnsi="宋体" w:eastAsia="宋体" w:cs="宋体"/>
                <w:szCs w:val="21"/>
              </w:rPr>
            </w:pPr>
          </w:p>
        </w:tc>
        <w:tc>
          <w:tcPr>
            <w:tcW w:w="1357" w:type="dxa"/>
            <w:vAlign w:val="center"/>
          </w:tcPr>
          <w:p w14:paraId="18468185">
            <w:pPr>
              <w:jc w:val="center"/>
              <w:rPr>
                <w:rFonts w:hint="eastAsia" w:ascii="宋体" w:hAnsi="宋体" w:eastAsia="宋体" w:cs="宋体"/>
                <w:szCs w:val="21"/>
              </w:rPr>
            </w:pPr>
            <w:r>
              <w:rPr>
                <w:rFonts w:hint="eastAsia" w:ascii="宋体" w:hAnsi="宋体" w:eastAsia="宋体" w:cs="宋体"/>
                <w:szCs w:val="21"/>
              </w:rPr>
              <w:t>移动平板</w:t>
            </w:r>
          </w:p>
        </w:tc>
        <w:tc>
          <w:tcPr>
            <w:tcW w:w="2683" w:type="dxa"/>
            <w:vAlign w:val="center"/>
          </w:tcPr>
          <w:p w14:paraId="00CD4830">
            <w:pPr>
              <w:jc w:val="left"/>
              <w:rPr>
                <w:rFonts w:hint="eastAsia" w:ascii="宋体" w:hAnsi="宋体" w:eastAsia="宋体" w:cs="宋体"/>
                <w:szCs w:val="21"/>
              </w:rPr>
            </w:pPr>
            <w:r>
              <w:rPr>
                <w:rFonts w:hint="eastAsia" w:ascii="宋体" w:hAnsi="宋体" w:eastAsia="宋体" w:cs="宋体"/>
                <w:szCs w:val="21"/>
              </w:rPr>
              <w:t>CPU</w:t>
            </w:r>
            <w:r>
              <w:rPr>
                <w:rFonts w:hint="eastAsia" w:ascii="宋体" w:hAnsi="宋体" w:eastAsia="宋体" w:cs="宋体"/>
                <w:szCs w:val="21"/>
                <w:lang w:val="en-US" w:eastAsia="zh-CN"/>
              </w:rPr>
              <w:t>≥</w:t>
            </w:r>
            <w:r>
              <w:rPr>
                <w:rFonts w:hint="eastAsia" w:ascii="宋体" w:hAnsi="宋体" w:eastAsia="宋体" w:cs="宋体"/>
                <w:szCs w:val="21"/>
              </w:rPr>
              <w:t>八核</w:t>
            </w:r>
          </w:p>
          <w:p w14:paraId="5E570438">
            <w:pPr>
              <w:jc w:val="left"/>
              <w:rPr>
                <w:rFonts w:hint="eastAsia" w:ascii="宋体" w:hAnsi="宋体" w:eastAsia="宋体" w:cs="宋体"/>
                <w:szCs w:val="21"/>
              </w:rPr>
            </w:pPr>
            <w:r>
              <w:rPr>
                <w:rFonts w:hint="eastAsia" w:ascii="宋体" w:hAnsi="宋体" w:eastAsia="宋体" w:cs="宋体"/>
                <w:szCs w:val="21"/>
              </w:rPr>
              <w:t>内存</w:t>
            </w:r>
            <w:r>
              <w:rPr>
                <w:rFonts w:hint="eastAsia" w:ascii="宋体" w:hAnsi="宋体" w:eastAsia="宋体" w:cs="宋体"/>
                <w:szCs w:val="21"/>
                <w:lang w:val="en-US" w:eastAsia="zh-CN"/>
              </w:rPr>
              <w:t>≥</w:t>
            </w:r>
            <w:r>
              <w:rPr>
                <w:rFonts w:hint="eastAsia" w:ascii="宋体" w:hAnsi="宋体" w:eastAsia="宋体" w:cs="宋体"/>
                <w:szCs w:val="21"/>
              </w:rPr>
              <w:t>6G</w:t>
            </w:r>
          </w:p>
          <w:p w14:paraId="058AB7DB">
            <w:pPr>
              <w:jc w:val="left"/>
              <w:rPr>
                <w:rFonts w:hint="default" w:ascii="宋体" w:hAnsi="宋体" w:eastAsia="宋体" w:cs="宋体"/>
                <w:szCs w:val="21"/>
                <w:lang w:val="en-US" w:eastAsia="zh-CN"/>
              </w:rPr>
            </w:pPr>
            <w:r>
              <w:rPr>
                <w:rFonts w:hint="eastAsia" w:ascii="宋体" w:hAnsi="宋体" w:eastAsia="宋体" w:cs="宋体"/>
                <w:szCs w:val="21"/>
              </w:rPr>
              <w:t>存储</w:t>
            </w:r>
            <w:r>
              <w:rPr>
                <w:rFonts w:hint="eastAsia" w:ascii="宋体" w:hAnsi="宋体" w:eastAsia="宋体" w:cs="宋体"/>
                <w:szCs w:val="21"/>
                <w:lang w:val="en-US" w:eastAsia="zh-CN"/>
              </w:rPr>
              <w:t>≥</w:t>
            </w:r>
            <w:r>
              <w:rPr>
                <w:rFonts w:hint="eastAsia" w:ascii="宋体" w:hAnsi="宋体" w:eastAsia="宋体" w:cs="宋体"/>
                <w:szCs w:val="21"/>
              </w:rPr>
              <w:t>128G</w:t>
            </w:r>
          </w:p>
        </w:tc>
        <w:tc>
          <w:tcPr>
            <w:tcW w:w="709" w:type="dxa"/>
            <w:vAlign w:val="center"/>
          </w:tcPr>
          <w:p w14:paraId="2986E34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35</w:t>
            </w:r>
          </w:p>
        </w:tc>
        <w:tc>
          <w:tcPr>
            <w:tcW w:w="850" w:type="dxa"/>
            <w:vAlign w:val="center"/>
          </w:tcPr>
          <w:p w14:paraId="36CA6327">
            <w:pPr>
              <w:jc w:val="center"/>
              <w:rPr>
                <w:rFonts w:hint="eastAsia" w:ascii="宋体" w:hAnsi="宋体" w:eastAsia="宋体" w:cs="宋体"/>
                <w:szCs w:val="21"/>
              </w:rPr>
            </w:pPr>
            <w:r>
              <w:rPr>
                <w:rFonts w:hint="eastAsia" w:ascii="宋体" w:hAnsi="宋体" w:eastAsia="宋体" w:cs="宋体"/>
                <w:szCs w:val="21"/>
              </w:rPr>
              <w:t>台</w:t>
            </w:r>
          </w:p>
        </w:tc>
        <w:tc>
          <w:tcPr>
            <w:tcW w:w="992" w:type="dxa"/>
            <w:noWrap/>
            <w:vAlign w:val="center"/>
          </w:tcPr>
          <w:p w14:paraId="0D4A9DC5">
            <w:pPr>
              <w:jc w:val="center"/>
              <w:rPr>
                <w:rFonts w:hint="eastAsia" w:ascii="宋体" w:hAnsi="宋体" w:eastAsia="宋体" w:cs="宋体"/>
                <w:szCs w:val="21"/>
              </w:rPr>
            </w:pPr>
          </w:p>
        </w:tc>
        <w:tc>
          <w:tcPr>
            <w:tcW w:w="1187" w:type="dxa"/>
            <w:noWrap/>
            <w:vAlign w:val="center"/>
          </w:tcPr>
          <w:p w14:paraId="6975ADD8">
            <w:pPr>
              <w:rPr>
                <w:rFonts w:hint="eastAsia" w:ascii="宋体" w:hAnsi="宋体" w:eastAsia="宋体" w:cs="宋体"/>
                <w:szCs w:val="21"/>
              </w:rPr>
            </w:pPr>
          </w:p>
        </w:tc>
      </w:tr>
    </w:tbl>
    <w:p w14:paraId="119C9F0D">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（二）软件需求描述</w:t>
      </w:r>
    </w:p>
    <w:tbl>
      <w:tblPr>
        <w:tblStyle w:val="1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38"/>
        <w:gridCol w:w="958"/>
        <w:gridCol w:w="1434"/>
        <w:gridCol w:w="4381"/>
      </w:tblGrid>
      <w:tr w14:paraId="31C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4B8ED03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序号</w:t>
            </w:r>
          </w:p>
        </w:tc>
        <w:tc>
          <w:tcPr>
            <w:tcW w:w="838" w:type="dxa"/>
            <w:noWrap/>
            <w:vAlign w:val="center"/>
          </w:tcPr>
          <w:p w14:paraId="14E0844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建设大类</w:t>
            </w:r>
          </w:p>
        </w:tc>
        <w:tc>
          <w:tcPr>
            <w:tcW w:w="958" w:type="dxa"/>
            <w:noWrap/>
            <w:vAlign w:val="center"/>
          </w:tcPr>
          <w:p w14:paraId="75CBBC7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一级模块</w:t>
            </w:r>
          </w:p>
        </w:tc>
        <w:tc>
          <w:tcPr>
            <w:tcW w:w="1434" w:type="dxa"/>
            <w:vAlign w:val="center"/>
          </w:tcPr>
          <w:p w14:paraId="2EAC16D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二级模块</w:t>
            </w:r>
          </w:p>
        </w:tc>
        <w:tc>
          <w:tcPr>
            <w:tcW w:w="4381" w:type="dxa"/>
            <w:vAlign w:val="center"/>
          </w:tcPr>
          <w:p w14:paraId="147777B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备注</w:t>
            </w:r>
          </w:p>
        </w:tc>
      </w:tr>
      <w:tr w14:paraId="2D0E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7BCDFA5">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restart"/>
            <w:noWrap/>
            <w:vAlign w:val="center"/>
          </w:tcPr>
          <w:p w14:paraId="1B4C169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手术护理信息系统</w:t>
            </w:r>
          </w:p>
        </w:tc>
        <w:tc>
          <w:tcPr>
            <w:tcW w:w="958" w:type="dxa"/>
            <w:vMerge w:val="restart"/>
            <w:noWrap/>
            <w:vAlign w:val="center"/>
          </w:tcPr>
          <w:p w14:paraId="2C668AC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术前护理管理</w:t>
            </w:r>
          </w:p>
        </w:tc>
        <w:tc>
          <w:tcPr>
            <w:tcW w:w="1434" w:type="dxa"/>
            <w:vAlign w:val="center"/>
          </w:tcPr>
          <w:p w14:paraId="6FC6F4F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手术同步功能</w:t>
            </w:r>
          </w:p>
        </w:tc>
        <w:tc>
          <w:tcPr>
            <w:tcW w:w="4381" w:type="dxa"/>
            <w:vAlign w:val="center"/>
          </w:tcPr>
          <w:p w14:paraId="663D3B3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1.支持</w:t>
            </w:r>
            <w:r>
              <w:rPr>
                <w:rFonts w:hint="eastAsia" w:ascii="Times New Roman" w:hAnsi="Times New Roman" w:eastAsia="宋体" w:cs="Times New Roman"/>
                <w:b w:val="0"/>
                <w:bCs w:val="0"/>
                <w:color w:val="auto"/>
                <w:sz w:val="24"/>
                <w:szCs w:val="24"/>
              </w:rPr>
              <w:t>同步HIS系统的手术预约</w:t>
            </w:r>
            <w:r>
              <w:rPr>
                <w:rFonts w:hint="eastAsia" w:ascii="Times New Roman" w:hAnsi="Times New Roman" w:eastAsia="宋体" w:cs="Times New Roman"/>
                <w:b w:val="0"/>
                <w:bCs w:val="0"/>
                <w:color w:val="auto"/>
                <w:sz w:val="24"/>
                <w:szCs w:val="24"/>
                <w:lang w:val="en-US" w:eastAsia="zh-CN"/>
              </w:rPr>
              <w:t>排班</w:t>
            </w:r>
            <w:r>
              <w:rPr>
                <w:rFonts w:hint="eastAsia" w:ascii="Times New Roman" w:hAnsi="Times New Roman" w:eastAsia="宋体" w:cs="Times New Roman"/>
                <w:b w:val="0"/>
                <w:bCs w:val="0"/>
                <w:color w:val="auto"/>
                <w:sz w:val="24"/>
                <w:szCs w:val="24"/>
              </w:rPr>
              <w:t>信息。</w:t>
            </w:r>
          </w:p>
        </w:tc>
      </w:tr>
      <w:tr w14:paraId="7A4B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4A65FCE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195BC4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CC470E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47F5FC8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手术信息查看功能</w:t>
            </w:r>
          </w:p>
        </w:tc>
        <w:tc>
          <w:tcPr>
            <w:tcW w:w="4381" w:type="dxa"/>
            <w:vAlign w:val="center"/>
          </w:tcPr>
          <w:p w14:paraId="316362B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1.支持</w:t>
            </w:r>
            <w:r>
              <w:rPr>
                <w:rFonts w:hint="eastAsia" w:ascii="Times New Roman" w:hAnsi="Times New Roman" w:eastAsia="宋体" w:cs="Times New Roman"/>
                <w:b w:val="0"/>
                <w:bCs w:val="0"/>
                <w:color w:val="auto"/>
                <w:sz w:val="24"/>
                <w:szCs w:val="24"/>
              </w:rPr>
              <w:t>查看、修改患者手术相关信息。</w:t>
            </w:r>
          </w:p>
        </w:tc>
      </w:tr>
      <w:tr w14:paraId="28F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567" w:type="dxa"/>
            <w:noWrap/>
            <w:vAlign w:val="center"/>
          </w:tcPr>
          <w:p w14:paraId="566C8DF4">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AC9490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443243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4F14E7F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highlight w:val="none"/>
                <w:lang w:bidi="ar"/>
              </w:rPr>
            </w:pPr>
            <w:r>
              <w:rPr>
                <w:rFonts w:hint="eastAsia" w:ascii="Times New Roman" w:hAnsi="Times New Roman" w:eastAsia="宋体" w:cs="Times New Roman"/>
                <w:b w:val="0"/>
                <w:bCs w:val="0"/>
                <w:color w:val="auto"/>
                <w:kern w:val="0"/>
                <w:sz w:val="24"/>
                <w:szCs w:val="24"/>
                <w:highlight w:val="none"/>
                <w:lang w:bidi="ar"/>
              </w:rPr>
              <w:t>检验结果趋势查看功能</w:t>
            </w:r>
          </w:p>
        </w:tc>
        <w:tc>
          <w:tcPr>
            <w:tcW w:w="4381" w:type="dxa"/>
            <w:vAlign w:val="center"/>
          </w:tcPr>
          <w:p w14:paraId="750637D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jc w:val="left"/>
              <w:textAlignment w:val="auto"/>
              <w:rPr>
                <w:rFonts w:hint="eastAsia" w:ascii="Times New Roman" w:hAnsi="Times New Roman" w:eastAsia="宋体" w:cs="Times New Roman"/>
                <w:b w:val="0"/>
                <w:bCs w:val="0"/>
                <w:color w:val="auto"/>
                <w:kern w:val="0"/>
                <w:sz w:val="24"/>
                <w:szCs w:val="24"/>
                <w:highlight w:val="none"/>
                <w:lang w:eastAsia="zh-CN" w:bidi="ar"/>
              </w:rPr>
            </w:pPr>
            <w:r>
              <w:rPr>
                <w:rFonts w:hint="eastAsia" w:ascii="Times New Roman" w:hAnsi="Times New Roman" w:eastAsia="宋体" w:cs="Times New Roman"/>
                <w:b w:val="0"/>
                <w:bCs w:val="0"/>
                <w:color w:val="auto"/>
                <w:kern w:val="0"/>
                <w:sz w:val="24"/>
                <w:szCs w:val="24"/>
                <w:highlight w:val="none"/>
                <w:lang w:bidi="ar"/>
              </w:rPr>
              <w:t>支持检验结果异常情况特殊显示</w:t>
            </w:r>
            <w:r>
              <w:rPr>
                <w:rFonts w:hint="eastAsia" w:ascii="Times New Roman" w:hAnsi="Times New Roman" w:eastAsia="宋体" w:cs="Times New Roman"/>
                <w:b w:val="0"/>
                <w:bCs w:val="0"/>
                <w:color w:val="auto"/>
                <w:kern w:val="0"/>
                <w:sz w:val="24"/>
                <w:szCs w:val="24"/>
                <w:highlight w:val="none"/>
                <w:lang w:eastAsia="zh-CN" w:bidi="ar"/>
              </w:rPr>
              <w:t>。</w:t>
            </w:r>
          </w:p>
          <w:p w14:paraId="32DC7D6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rPr>
              <w:t>支持调取患者历史检验数据，绘制趋势图，</w:t>
            </w:r>
            <w:r>
              <w:rPr>
                <w:rFonts w:hint="eastAsia" w:ascii="Times New Roman" w:hAnsi="Times New Roman" w:eastAsia="宋体" w:cs="Times New Roman"/>
                <w:b w:val="0"/>
                <w:bCs w:val="0"/>
                <w:color w:val="auto"/>
                <w:kern w:val="0"/>
                <w:sz w:val="24"/>
                <w:szCs w:val="24"/>
                <w:highlight w:val="none"/>
                <w:lang w:bidi="ar"/>
              </w:rPr>
              <w:t>并在麻醉记录单和相关图表中</w:t>
            </w:r>
            <w:r>
              <w:rPr>
                <w:rFonts w:hint="eastAsia" w:ascii="Times New Roman" w:hAnsi="Times New Roman" w:eastAsia="宋体" w:cs="Times New Roman"/>
                <w:b w:val="0"/>
                <w:bCs w:val="0"/>
                <w:color w:val="auto"/>
                <w:kern w:val="0"/>
                <w:sz w:val="24"/>
                <w:szCs w:val="24"/>
                <w:highlight w:val="none"/>
                <w:lang w:val="en-US" w:eastAsia="zh-CN" w:bidi="ar"/>
              </w:rPr>
              <w:t>特殊</w:t>
            </w:r>
            <w:r>
              <w:rPr>
                <w:rFonts w:hint="eastAsia" w:ascii="Times New Roman" w:hAnsi="Times New Roman" w:eastAsia="宋体" w:cs="Times New Roman"/>
                <w:b w:val="0"/>
                <w:bCs w:val="0"/>
                <w:color w:val="auto"/>
                <w:kern w:val="0"/>
                <w:sz w:val="24"/>
                <w:szCs w:val="24"/>
                <w:highlight w:val="none"/>
                <w:lang w:bidi="ar"/>
              </w:rPr>
              <w:t>显示</w:t>
            </w:r>
            <w:r>
              <w:rPr>
                <w:rFonts w:hint="eastAsia" w:ascii="Times New Roman" w:hAnsi="Times New Roman" w:eastAsia="宋体" w:cs="Times New Roman"/>
                <w:b w:val="0"/>
                <w:bCs w:val="0"/>
                <w:color w:val="auto"/>
                <w:sz w:val="24"/>
                <w:szCs w:val="24"/>
                <w:highlight w:val="none"/>
              </w:rPr>
              <w:t>供护理人员参考。</w:t>
            </w:r>
          </w:p>
        </w:tc>
      </w:tr>
      <w:tr w14:paraId="7DE3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67" w:type="dxa"/>
            <w:noWrap/>
            <w:vAlign w:val="center"/>
          </w:tcPr>
          <w:p w14:paraId="4777F34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F5EE57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68CF984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134CACD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更换手术间功能</w:t>
            </w:r>
          </w:p>
        </w:tc>
        <w:tc>
          <w:tcPr>
            <w:tcW w:w="4381" w:type="dxa"/>
            <w:vAlign w:val="center"/>
          </w:tcPr>
          <w:p w14:paraId="13F7118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kern w:val="0"/>
                <w:sz w:val="24"/>
                <w:szCs w:val="24"/>
                <w:lang w:bidi="ar"/>
              </w:rPr>
              <w:t>支持快速预览手术间空闲/占用情况</w:t>
            </w:r>
          </w:p>
          <w:p w14:paraId="159DF22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能够在需要更换手术间时，快速筛选占用/空闲手术间，并定位空闲手术室完成一键更换。</w:t>
            </w:r>
          </w:p>
        </w:tc>
      </w:tr>
      <w:tr w14:paraId="0BAC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E0E3700">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156511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0689FA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F723CF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已安排手术取消功能</w:t>
            </w:r>
          </w:p>
        </w:tc>
        <w:tc>
          <w:tcPr>
            <w:tcW w:w="4381" w:type="dxa"/>
            <w:vAlign w:val="center"/>
          </w:tcPr>
          <w:p w14:paraId="3122A56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能够对已经安排的手术进行撤销，记录取消手术的原因。</w:t>
            </w:r>
          </w:p>
        </w:tc>
      </w:tr>
      <w:tr w14:paraId="30A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259E5C4">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012AE6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noWrap/>
            <w:vAlign w:val="center"/>
          </w:tcPr>
          <w:p w14:paraId="6C2E460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护理文书管理</w:t>
            </w:r>
          </w:p>
        </w:tc>
        <w:tc>
          <w:tcPr>
            <w:tcW w:w="1434" w:type="dxa"/>
            <w:vAlign w:val="center"/>
          </w:tcPr>
          <w:p w14:paraId="6BEFAFD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术前访视记录功能</w:t>
            </w:r>
          </w:p>
        </w:tc>
        <w:tc>
          <w:tcPr>
            <w:tcW w:w="4381" w:type="dxa"/>
            <w:vAlign w:val="center"/>
          </w:tcPr>
          <w:p w14:paraId="7520E34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支持护理文书同步HIS系统患者基本信息，避免二次转抄</w:t>
            </w:r>
            <w:r>
              <w:rPr>
                <w:rFonts w:hint="eastAsia" w:ascii="Times New Roman" w:hAnsi="Times New Roman" w:eastAsia="宋体" w:cs="Times New Roman"/>
                <w:b w:val="0"/>
                <w:bCs w:val="0"/>
                <w:color w:val="auto"/>
                <w:sz w:val="24"/>
                <w:szCs w:val="24"/>
                <w:lang w:eastAsia="zh-CN"/>
              </w:rPr>
              <w:t>。</w:t>
            </w:r>
          </w:p>
          <w:p w14:paraId="04D2360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支持术前访视记录同步检验结果数据，自动填入文书对应项目中。</w:t>
            </w:r>
          </w:p>
          <w:p w14:paraId="05B5DC0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提供术前访视单预览及打印。</w:t>
            </w:r>
          </w:p>
        </w:tc>
      </w:tr>
      <w:tr w14:paraId="3A5F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5EEE36A">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3B3B43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BE54C5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849AA8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手术护理记录功能</w:t>
            </w:r>
          </w:p>
        </w:tc>
        <w:tc>
          <w:tcPr>
            <w:tcW w:w="4381" w:type="dxa"/>
            <w:vAlign w:val="center"/>
          </w:tcPr>
          <w:p w14:paraId="485DCBA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提供符合医院格式要求的护理记录单，记录患者手术过程中的护理情况。</w:t>
            </w:r>
          </w:p>
          <w:p w14:paraId="66DE9BE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支持手术护理记录单预览及打印。</w:t>
            </w:r>
          </w:p>
        </w:tc>
      </w:tr>
      <w:tr w14:paraId="4F7D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EB1526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4019F7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F5AF27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3EB8CA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手术风险评估记录功能</w:t>
            </w:r>
          </w:p>
        </w:tc>
        <w:tc>
          <w:tcPr>
            <w:tcW w:w="4381" w:type="dxa"/>
            <w:vAlign w:val="center"/>
          </w:tcPr>
          <w:p w14:paraId="2A93F11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能够提供符合医院格式要求的手术风险评估表，支持风险评估表分数自动汇总。</w:t>
            </w:r>
          </w:p>
          <w:p w14:paraId="2E62231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支持手术风险评估单预览及打印。</w:t>
            </w:r>
          </w:p>
        </w:tc>
      </w:tr>
      <w:tr w14:paraId="7F0A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59151F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4FDD47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72C54B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4F05DA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压疮评估记录功能</w:t>
            </w:r>
          </w:p>
        </w:tc>
        <w:tc>
          <w:tcPr>
            <w:tcW w:w="4381" w:type="dxa"/>
            <w:vAlign w:val="center"/>
          </w:tcPr>
          <w:p w14:paraId="76F2B14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提供符合医院格式要求的压疮评估记录单，能够根据患者身高体重自动计算BMI值。</w:t>
            </w:r>
          </w:p>
          <w:p w14:paraId="06606CF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支持手术压疮评估单预览及打印。</w:t>
            </w:r>
          </w:p>
        </w:tc>
      </w:tr>
      <w:tr w14:paraId="4515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2C27010">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1EBDAB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17C7816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5B939A4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术后访视记录功能</w:t>
            </w:r>
          </w:p>
        </w:tc>
        <w:tc>
          <w:tcPr>
            <w:tcW w:w="4381" w:type="dxa"/>
            <w:vAlign w:val="center"/>
          </w:tcPr>
          <w:p w14:paraId="7D27025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提供符合医院要求的术后访视记录</w:t>
            </w:r>
            <w:r>
              <w:rPr>
                <w:rFonts w:hint="eastAsia" w:ascii="Times New Roman" w:hAnsi="Times New Roman" w:eastAsia="宋体" w:cs="Times New Roman"/>
                <w:b w:val="0"/>
                <w:bCs w:val="0"/>
                <w:color w:val="auto"/>
                <w:sz w:val="24"/>
                <w:szCs w:val="24"/>
                <w:lang w:val="en-US" w:eastAsia="zh-CN"/>
              </w:rPr>
              <w:t>单</w:t>
            </w:r>
            <w:r>
              <w:rPr>
                <w:rFonts w:hint="eastAsia" w:ascii="Times New Roman" w:hAnsi="Times New Roman" w:eastAsia="宋体" w:cs="Times New Roman"/>
                <w:b w:val="0"/>
                <w:bCs w:val="0"/>
                <w:color w:val="auto"/>
                <w:sz w:val="24"/>
                <w:szCs w:val="24"/>
              </w:rPr>
              <w:t>。</w:t>
            </w:r>
          </w:p>
          <w:p w14:paraId="4435E4F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支持术后访视记录</w:t>
            </w:r>
            <w:r>
              <w:rPr>
                <w:rFonts w:hint="eastAsia" w:ascii="Times New Roman" w:hAnsi="Times New Roman" w:eastAsia="宋体" w:cs="Times New Roman"/>
                <w:b w:val="0"/>
                <w:bCs w:val="0"/>
                <w:color w:val="auto"/>
                <w:sz w:val="24"/>
                <w:szCs w:val="24"/>
                <w:lang w:val="en-US" w:eastAsia="zh-CN"/>
              </w:rPr>
              <w:t>单</w:t>
            </w:r>
            <w:r>
              <w:rPr>
                <w:rFonts w:hint="eastAsia" w:ascii="Times New Roman" w:hAnsi="Times New Roman" w:eastAsia="宋体" w:cs="Times New Roman"/>
                <w:b w:val="0"/>
                <w:bCs w:val="0"/>
                <w:color w:val="auto"/>
                <w:sz w:val="24"/>
                <w:szCs w:val="24"/>
              </w:rPr>
              <w:t>预览及打印。</w:t>
            </w:r>
          </w:p>
        </w:tc>
      </w:tr>
      <w:tr w14:paraId="4F7E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567" w:type="dxa"/>
            <w:noWrap/>
            <w:vAlign w:val="center"/>
          </w:tcPr>
          <w:p w14:paraId="1646116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365585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noWrap/>
            <w:vAlign w:val="center"/>
          </w:tcPr>
          <w:p w14:paraId="595FFF7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手术安全管理</w:t>
            </w:r>
          </w:p>
        </w:tc>
        <w:tc>
          <w:tcPr>
            <w:tcW w:w="1434" w:type="dxa"/>
            <w:vAlign w:val="center"/>
          </w:tcPr>
          <w:p w14:paraId="69C3968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手术区域患者核查功能</w:t>
            </w:r>
          </w:p>
        </w:tc>
        <w:tc>
          <w:tcPr>
            <w:tcW w:w="4381" w:type="dxa"/>
            <w:vAlign w:val="center"/>
          </w:tcPr>
          <w:p w14:paraId="639186A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能够在患者进入手术区域时，通过扫描患者腕带或录入患者ID，对患者身份进行核查</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并对核查结果进行提示。</w:t>
            </w:r>
          </w:p>
        </w:tc>
      </w:tr>
      <w:tr w14:paraId="520D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567" w:type="dxa"/>
            <w:noWrap/>
            <w:vAlign w:val="center"/>
          </w:tcPr>
          <w:p w14:paraId="4C234AA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9938CB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CC1028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ABB15E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手术间患者核查功能</w:t>
            </w:r>
          </w:p>
        </w:tc>
        <w:tc>
          <w:tcPr>
            <w:tcW w:w="4381" w:type="dxa"/>
            <w:vAlign w:val="center"/>
          </w:tcPr>
          <w:p w14:paraId="61879E1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能够在患者进入手术间时，通过扫描患者腕带或录入患者ID，对患者身份进行核查</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并对核查结果进行提示。</w:t>
            </w:r>
          </w:p>
        </w:tc>
      </w:tr>
      <w:tr w14:paraId="6696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567" w:type="dxa"/>
            <w:noWrap/>
            <w:vAlign w:val="center"/>
          </w:tcPr>
          <w:p w14:paraId="2006A33E">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7F411F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3C436C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32E4267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安全核查功能</w:t>
            </w:r>
          </w:p>
        </w:tc>
        <w:tc>
          <w:tcPr>
            <w:tcW w:w="4381" w:type="dxa"/>
            <w:vAlign w:val="center"/>
          </w:tcPr>
          <w:p w14:paraId="42949E9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手术安全核查单同步HIS系统患者基本信息，避免二次转抄。</w:t>
            </w:r>
          </w:p>
          <w:p w14:paraId="4F90990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能够提供卫生部标准的手术安全核查单，能够基于手术流程</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rPr>
              <w:t>进行手术安全核查并记录</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rPr>
              <w:t>在麻醉实施前文书只能录入麻醉实施前内容，手术开始前和患者离室前内容均为不可录入和修改状态。</w:t>
            </w:r>
          </w:p>
          <w:p w14:paraId="1E304CC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能够与麻醉系统安全核查单数据源互通。</w:t>
            </w:r>
          </w:p>
          <w:p w14:paraId="5BAF421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rPr>
              <w:t>支持手术安全核查单预览及打印。</w:t>
            </w:r>
          </w:p>
        </w:tc>
      </w:tr>
      <w:tr w14:paraId="0EA9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ign w:val="center"/>
          </w:tcPr>
          <w:p w14:paraId="3298482B">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2FA304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45CA66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3D30CE8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入室质控管理</w:t>
            </w:r>
          </w:p>
        </w:tc>
        <w:tc>
          <w:tcPr>
            <w:tcW w:w="4381" w:type="dxa"/>
            <w:vAlign w:val="center"/>
          </w:tcPr>
          <w:p w14:paraId="4813572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通过扫描患者腕带核对患者身份，身份正确方可进入手术室。</w:t>
            </w:r>
          </w:p>
          <w:p w14:paraId="0922DDA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支持对术前患者评估控制，可配置是否完成患者评估后进入术中。</w:t>
            </w:r>
          </w:p>
        </w:tc>
      </w:tr>
      <w:tr w14:paraId="6D0F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06B659B">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4125D4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2D64657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器械包管理</w:t>
            </w:r>
          </w:p>
        </w:tc>
        <w:tc>
          <w:tcPr>
            <w:tcW w:w="1434" w:type="dxa"/>
            <w:vAlign w:val="center"/>
          </w:tcPr>
          <w:p w14:paraId="0946593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供应室对接功能</w:t>
            </w:r>
          </w:p>
        </w:tc>
        <w:tc>
          <w:tcPr>
            <w:tcW w:w="4381" w:type="dxa"/>
            <w:vAlign w:val="center"/>
          </w:tcPr>
          <w:p w14:paraId="5FC8D57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对接供应室系统，通过机读或手工录入器械包条码，获取器械包明细数据，并记录器械包条码号。</w:t>
            </w:r>
          </w:p>
        </w:tc>
      </w:tr>
      <w:tr w14:paraId="014A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39603B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DC344A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7CE722D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91579D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器械包扫码添加功能</w:t>
            </w:r>
          </w:p>
        </w:tc>
        <w:tc>
          <w:tcPr>
            <w:tcW w:w="4381" w:type="dxa"/>
            <w:vAlign w:val="center"/>
          </w:tcPr>
          <w:p w14:paraId="03DB25E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支持术前扫码添加器械包，扫码后器械包明细直接展开在对应器械清点单术前列中</w:t>
            </w:r>
            <w:r>
              <w:rPr>
                <w:rFonts w:hint="eastAsia" w:ascii="Times New Roman" w:hAnsi="Times New Roman" w:eastAsia="宋体" w:cs="Times New Roman"/>
                <w:b w:val="0"/>
                <w:bCs w:val="0"/>
                <w:color w:val="auto"/>
                <w:sz w:val="24"/>
                <w:szCs w:val="24"/>
                <w:lang w:eastAsia="zh-CN"/>
              </w:rPr>
              <w:t>；</w:t>
            </w:r>
          </w:p>
          <w:p w14:paraId="79AEC91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支持术中扫码添加器械包，扫码后器械包明细直接展开在对应术中添加列</w:t>
            </w:r>
            <w:r>
              <w:rPr>
                <w:rFonts w:hint="eastAsia" w:ascii="Times New Roman" w:hAnsi="Times New Roman" w:eastAsia="宋体" w:cs="Times New Roman"/>
                <w:b w:val="0"/>
                <w:bCs w:val="0"/>
                <w:color w:val="auto"/>
                <w:sz w:val="24"/>
                <w:szCs w:val="24"/>
                <w:lang w:eastAsia="zh-CN"/>
              </w:rPr>
              <w:t>；</w:t>
            </w:r>
          </w:p>
          <w:p w14:paraId="788D3C4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支持关腔中扫码添加器械包，扫码后器械包明细直接展开在对应关腔中添加列。</w:t>
            </w:r>
          </w:p>
        </w:tc>
      </w:tr>
      <w:tr w14:paraId="3373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jc w:val="center"/>
        </w:trPr>
        <w:tc>
          <w:tcPr>
            <w:tcW w:w="567" w:type="dxa"/>
            <w:noWrap/>
            <w:vAlign w:val="center"/>
          </w:tcPr>
          <w:p w14:paraId="13003326">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A5FCBF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710BB0E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3C62DEA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器械包清点记录功能</w:t>
            </w:r>
          </w:p>
        </w:tc>
        <w:tc>
          <w:tcPr>
            <w:tcW w:w="4381" w:type="dxa"/>
            <w:vAlign w:val="center"/>
          </w:tcPr>
          <w:p w14:paraId="2453D3C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能够记录手术器械的名称及术前、术中关前及关后器械核对后的数量，形成手术清点单。手术器械清点记录单接入HIS系统，快速同步患者信息，避免重复或者二次转抄。</w:t>
            </w:r>
          </w:p>
          <w:p w14:paraId="04BDD53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支持通过器械包模板套用录入。能够记录并管理器械包的名称、编码。</w:t>
            </w:r>
          </w:p>
          <w:p w14:paraId="5573184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支持术中添加器械包</w:t>
            </w:r>
            <w:r>
              <w:rPr>
                <w:rFonts w:hint="eastAsia" w:ascii="Times New Roman" w:hAnsi="Times New Roman" w:eastAsia="宋体" w:cs="Times New Roman"/>
                <w:b w:val="0"/>
                <w:bCs w:val="0"/>
                <w:color w:val="auto"/>
                <w:sz w:val="24"/>
                <w:szCs w:val="24"/>
                <w:lang w:eastAsia="zh-CN"/>
              </w:rPr>
              <w:t>。</w:t>
            </w:r>
          </w:p>
          <w:p w14:paraId="7AAD6EE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eastAsia="zh-CN" w:bidi="ar"/>
              </w:rPr>
            </w:pPr>
            <w:r>
              <w:rPr>
                <w:rFonts w:hint="eastAsia" w:ascii="Times New Roman" w:hAnsi="Times New Roman" w:eastAsia="宋体" w:cs="Times New Roman"/>
                <w:b w:val="0"/>
                <w:bCs w:val="0"/>
                <w:color w:val="auto"/>
                <w:kern w:val="0"/>
                <w:sz w:val="24"/>
                <w:szCs w:val="24"/>
                <w:lang w:val="en-US" w:eastAsia="zh-CN" w:bidi="ar"/>
              </w:rPr>
              <w:t>4.</w:t>
            </w:r>
            <w:r>
              <w:rPr>
                <w:rFonts w:hint="eastAsia" w:ascii="Times New Roman" w:hAnsi="Times New Roman" w:eastAsia="宋体" w:cs="Times New Roman"/>
                <w:b w:val="0"/>
                <w:bCs w:val="0"/>
                <w:color w:val="auto"/>
                <w:kern w:val="0"/>
                <w:sz w:val="24"/>
                <w:szCs w:val="24"/>
                <w:lang w:bidi="ar"/>
              </w:rPr>
              <w:t>支持器械清点数据核查功能，并对核查结果不一致情况进行提醒</w:t>
            </w:r>
            <w:r>
              <w:rPr>
                <w:rFonts w:hint="eastAsia" w:ascii="Times New Roman" w:hAnsi="Times New Roman" w:eastAsia="宋体" w:cs="Times New Roman"/>
                <w:b w:val="0"/>
                <w:bCs w:val="0"/>
                <w:color w:val="auto"/>
                <w:kern w:val="0"/>
                <w:sz w:val="24"/>
                <w:szCs w:val="24"/>
                <w:lang w:eastAsia="zh-CN" w:bidi="ar"/>
              </w:rPr>
              <w:t>。</w:t>
            </w:r>
          </w:p>
          <w:p w14:paraId="445BFD8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eastAsia="zh-CN" w:bidi="ar"/>
              </w:rPr>
            </w:pPr>
            <w:r>
              <w:rPr>
                <w:rFonts w:hint="eastAsia" w:ascii="Times New Roman" w:hAnsi="Times New Roman" w:eastAsia="宋体" w:cs="Times New Roman"/>
                <w:b w:val="0"/>
                <w:bCs w:val="0"/>
                <w:color w:val="auto"/>
                <w:kern w:val="0"/>
                <w:sz w:val="24"/>
                <w:szCs w:val="24"/>
                <w:lang w:val="en-US" w:eastAsia="zh-CN" w:bidi="ar"/>
              </w:rPr>
              <w:t>5.</w:t>
            </w:r>
            <w:r>
              <w:rPr>
                <w:rFonts w:hint="eastAsia" w:ascii="Times New Roman" w:hAnsi="Times New Roman" w:eastAsia="宋体" w:cs="Times New Roman"/>
                <w:b w:val="0"/>
                <w:bCs w:val="0"/>
                <w:color w:val="auto"/>
                <w:kern w:val="0"/>
                <w:sz w:val="24"/>
                <w:szCs w:val="24"/>
                <w:lang w:bidi="ar"/>
              </w:rPr>
              <w:t>支持器械包与患者绑定和解绑功能</w:t>
            </w:r>
          </w:p>
          <w:p w14:paraId="3DF402F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rPr>
              <w:t>能够在用户打印文书时自动检查文书内容，在器械未填写完整时、器械数量有误时进行提醒。</w:t>
            </w:r>
          </w:p>
          <w:p w14:paraId="398B206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7.</w:t>
            </w:r>
            <w:r>
              <w:rPr>
                <w:rFonts w:hint="eastAsia" w:ascii="Times New Roman" w:hAnsi="Times New Roman" w:eastAsia="宋体" w:cs="Times New Roman"/>
                <w:b w:val="0"/>
                <w:bCs w:val="0"/>
                <w:color w:val="auto"/>
                <w:sz w:val="24"/>
                <w:szCs w:val="24"/>
              </w:rPr>
              <w:t>支持用户自定义文书必填项目。</w:t>
            </w:r>
          </w:p>
          <w:p w14:paraId="4FCF689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8.</w:t>
            </w:r>
            <w:r>
              <w:rPr>
                <w:rFonts w:hint="eastAsia" w:ascii="Times New Roman" w:hAnsi="Times New Roman" w:eastAsia="宋体" w:cs="Times New Roman"/>
                <w:b w:val="0"/>
                <w:bCs w:val="0"/>
                <w:color w:val="auto"/>
                <w:sz w:val="24"/>
                <w:szCs w:val="24"/>
              </w:rPr>
              <w:t>支持器械清点单的预览和打印。</w:t>
            </w:r>
          </w:p>
        </w:tc>
      </w:tr>
      <w:tr w14:paraId="09F0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62608DB">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1231F3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2D62CD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F05B14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器械包模板套用功能</w:t>
            </w:r>
          </w:p>
        </w:tc>
        <w:tc>
          <w:tcPr>
            <w:tcW w:w="4381" w:type="dxa"/>
            <w:vAlign w:val="center"/>
          </w:tcPr>
          <w:p w14:paraId="22376E6F">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支持术中套用器械包模板。</w:t>
            </w:r>
          </w:p>
        </w:tc>
      </w:tr>
      <w:tr w14:paraId="6DA9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4233E9D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77FB8F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9EDFE9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CEAB28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器械包效期提醒功能</w:t>
            </w:r>
          </w:p>
        </w:tc>
        <w:tc>
          <w:tcPr>
            <w:tcW w:w="4381" w:type="dxa"/>
            <w:vAlign w:val="center"/>
          </w:tcPr>
          <w:p w14:paraId="2734832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能够对超过有效期的器械包进行提醒。</w:t>
            </w:r>
          </w:p>
        </w:tc>
      </w:tr>
      <w:tr w14:paraId="344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F6B29ED">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1E3FB7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110F27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26CC47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器械包使用查询功能</w:t>
            </w:r>
          </w:p>
        </w:tc>
        <w:tc>
          <w:tcPr>
            <w:tcW w:w="4381" w:type="dxa"/>
            <w:vAlign w:val="center"/>
          </w:tcPr>
          <w:p w14:paraId="1A6F624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能够对器械包使用情况进行统计分析。</w:t>
            </w:r>
          </w:p>
          <w:p w14:paraId="61C7B73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能够查询患者术中使用的器械包情况。</w:t>
            </w:r>
          </w:p>
        </w:tc>
      </w:tr>
      <w:tr w14:paraId="4395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67" w:type="dxa"/>
            <w:noWrap/>
            <w:vAlign w:val="center"/>
          </w:tcPr>
          <w:p w14:paraId="38F37109">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968EAB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71A40F0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护理监控管理</w:t>
            </w:r>
          </w:p>
        </w:tc>
        <w:tc>
          <w:tcPr>
            <w:tcW w:w="1434" w:type="dxa"/>
            <w:vAlign w:val="center"/>
          </w:tcPr>
          <w:p w14:paraId="5BD9549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术间概览功能</w:t>
            </w:r>
          </w:p>
        </w:tc>
        <w:tc>
          <w:tcPr>
            <w:tcW w:w="4381" w:type="dxa"/>
            <w:vAlign w:val="center"/>
          </w:tcPr>
          <w:p w14:paraId="1A1641C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能够集中展示当前手术间占用情况与术中手术信息。</w:t>
            </w:r>
          </w:p>
          <w:p w14:paraId="695FA86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能够以床头卡片形式集中展现所有手术间占用情况。</w:t>
            </w:r>
          </w:p>
          <w:p w14:paraId="7FC0DE3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能够按手术进程节点快速分类查看各手术间手术情况。</w:t>
            </w:r>
          </w:p>
        </w:tc>
      </w:tr>
      <w:tr w14:paraId="60BA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567" w:type="dxa"/>
            <w:noWrap/>
            <w:vAlign w:val="center"/>
          </w:tcPr>
          <w:p w14:paraId="0D8A4A11">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rPr>
            </w:pPr>
          </w:p>
        </w:tc>
        <w:tc>
          <w:tcPr>
            <w:tcW w:w="838" w:type="dxa"/>
            <w:vMerge w:val="continue"/>
            <w:vAlign w:val="center"/>
          </w:tcPr>
          <w:p w14:paraId="4C2A1D3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p>
        </w:tc>
        <w:tc>
          <w:tcPr>
            <w:tcW w:w="958" w:type="dxa"/>
            <w:vMerge w:val="continue"/>
            <w:vAlign w:val="center"/>
          </w:tcPr>
          <w:p w14:paraId="1896880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p>
        </w:tc>
        <w:tc>
          <w:tcPr>
            <w:tcW w:w="1434" w:type="dxa"/>
            <w:vAlign w:val="center"/>
          </w:tcPr>
          <w:p w14:paraId="277520E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kern w:val="0"/>
                <w:sz w:val="24"/>
                <w:szCs w:val="24"/>
                <w:highlight w:val="none"/>
                <w:lang w:bidi="ar"/>
              </w:rPr>
              <w:t>手术进程概览功能</w:t>
            </w:r>
          </w:p>
        </w:tc>
        <w:tc>
          <w:tcPr>
            <w:tcW w:w="4381" w:type="dxa"/>
            <w:vAlign w:val="center"/>
          </w:tcPr>
          <w:p w14:paraId="1A76101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rPr>
              <w:t>支持手术概览</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包括进行中手术列表卡片，所有手术间所有已安排手术时间轴，接台手术列表卡片。以时间轴的方式显示患者的手术流程，便于医护人员对手术流程的把控，支持进行中手术列表卡片、手术时间轴和接台手术列表卡片在同一界面展示。</w:t>
            </w:r>
          </w:p>
          <w:p w14:paraId="521BF00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rPr>
              <w:t>能够集中展现各个手术间手术进程情况，并以颜色区分患者手术状态。</w:t>
            </w:r>
          </w:p>
          <w:p w14:paraId="2D1AFE6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rPr>
              <w:t>能够以列表卡片形式展示当前时间正在进行的所有手术。</w:t>
            </w:r>
          </w:p>
          <w:p w14:paraId="703289B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rPr>
              <w:t>能够概览各手术间接台手术数量和接台手术基本信息。</w:t>
            </w:r>
          </w:p>
        </w:tc>
      </w:tr>
      <w:tr w14:paraId="3A4C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9621985">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8C3294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1A75CFE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科室管理</w:t>
            </w:r>
          </w:p>
        </w:tc>
        <w:tc>
          <w:tcPr>
            <w:tcW w:w="1434" w:type="dxa"/>
            <w:vAlign w:val="center"/>
          </w:tcPr>
          <w:p w14:paraId="08F372D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手术综合信息查询统计</w:t>
            </w:r>
          </w:p>
        </w:tc>
        <w:tc>
          <w:tcPr>
            <w:tcW w:w="4381" w:type="dxa"/>
            <w:vAlign w:val="center"/>
          </w:tcPr>
          <w:p w14:paraId="542F3A0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1.支持手术综合信息查询，</w:t>
            </w:r>
            <w:r>
              <w:rPr>
                <w:rFonts w:hint="eastAsia" w:ascii="Times New Roman" w:hAnsi="Times New Roman" w:eastAsia="宋体" w:cs="Times New Roman"/>
                <w:b w:val="0"/>
                <w:bCs w:val="0"/>
                <w:color w:val="auto"/>
                <w:sz w:val="24"/>
                <w:szCs w:val="24"/>
              </w:rPr>
              <w:t>能够查询指定时间段内所有手术相关详细信息。</w:t>
            </w:r>
          </w:p>
        </w:tc>
      </w:tr>
      <w:tr w14:paraId="048C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3A0A6DF3">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390D10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E3CC83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6D74F4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取消类手术统计</w:t>
            </w:r>
          </w:p>
        </w:tc>
        <w:tc>
          <w:tcPr>
            <w:tcW w:w="4381" w:type="dxa"/>
            <w:vAlign w:val="center"/>
          </w:tcPr>
          <w:p w14:paraId="4BCC11D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能够统计指定时间段内取消手术及原因。</w:t>
            </w:r>
          </w:p>
        </w:tc>
      </w:tr>
      <w:tr w14:paraId="3EF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7BDCD1A">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D4A8A1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927DED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A23AF9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护理工作量统计</w:t>
            </w:r>
          </w:p>
        </w:tc>
        <w:tc>
          <w:tcPr>
            <w:tcW w:w="4381" w:type="dxa"/>
            <w:vAlign w:val="center"/>
          </w:tcPr>
          <w:p w14:paraId="665FCE1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能够统计指定时间段内护士作为不同角色参与的手术例数及手术时长，反映其工作量。</w:t>
            </w:r>
          </w:p>
        </w:tc>
      </w:tr>
      <w:tr w14:paraId="163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F5D0E7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14F3BA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1861B34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D4A8BE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科室工作量统计</w:t>
            </w:r>
          </w:p>
        </w:tc>
        <w:tc>
          <w:tcPr>
            <w:tcW w:w="4381" w:type="dxa"/>
            <w:vAlign w:val="center"/>
          </w:tcPr>
          <w:p w14:paraId="580A006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能够统计指定时间段内手术科室、临床科室的手术例数及手术时长。</w:t>
            </w:r>
          </w:p>
        </w:tc>
      </w:tr>
      <w:tr w14:paraId="459A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4D6B5305">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3F9332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169C7D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CAA2BB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手术室利用率统计</w:t>
            </w:r>
          </w:p>
        </w:tc>
        <w:tc>
          <w:tcPr>
            <w:tcW w:w="4381" w:type="dxa"/>
            <w:vAlign w:val="center"/>
          </w:tcPr>
          <w:p w14:paraId="3D60BF4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能够统计指定时间段内手术室的整体利用率。</w:t>
            </w:r>
          </w:p>
        </w:tc>
      </w:tr>
      <w:tr w14:paraId="3DE4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1E45CC3">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359259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9A8F78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3E5C3DA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首台手术统计</w:t>
            </w:r>
          </w:p>
        </w:tc>
        <w:tc>
          <w:tcPr>
            <w:tcW w:w="4381" w:type="dxa"/>
            <w:vAlign w:val="center"/>
          </w:tcPr>
          <w:p w14:paraId="4BE811A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能够统计首台手术开台情况。</w:t>
            </w:r>
          </w:p>
        </w:tc>
      </w:tr>
      <w:tr w14:paraId="1910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54D94F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42B3CD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2FC656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12E880F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多次手术统计</w:t>
            </w:r>
          </w:p>
        </w:tc>
        <w:tc>
          <w:tcPr>
            <w:tcW w:w="4381" w:type="dxa"/>
            <w:vAlign w:val="center"/>
          </w:tcPr>
          <w:p w14:paraId="4591B6E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能够统计指定时间段内手术患者中当次入院做过多次手术的手术详细信息。</w:t>
            </w:r>
          </w:p>
        </w:tc>
      </w:tr>
      <w:tr w14:paraId="203F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FAFF406">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1C6079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499AA0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CF415D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日报月报年报统计</w:t>
            </w:r>
          </w:p>
        </w:tc>
        <w:tc>
          <w:tcPr>
            <w:tcW w:w="4381" w:type="dxa"/>
            <w:vAlign w:val="center"/>
          </w:tcPr>
          <w:p w14:paraId="2D76494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能够统计指定时间段内手术室手术量，自动生成日/月/季/年报表。</w:t>
            </w:r>
          </w:p>
        </w:tc>
      </w:tr>
      <w:tr w14:paraId="154B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040C386">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77D306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0199F0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39071F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报表结果导出功能</w:t>
            </w:r>
          </w:p>
        </w:tc>
        <w:tc>
          <w:tcPr>
            <w:tcW w:w="4381" w:type="dxa"/>
            <w:vAlign w:val="center"/>
          </w:tcPr>
          <w:p w14:paraId="4F7E7FB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支持报表导出功能。</w:t>
            </w:r>
          </w:p>
        </w:tc>
      </w:tr>
      <w:tr w14:paraId="34A2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22540E6">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BDCF4A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5331355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系统支撑平台</w:t>
            </w:r>
          </w:p>
        </w:tc>
        <w:tc>
          <w:tcPr>
            <w:tcW w:w="1434" w:type="dxa"/>
            <w:vAlign w:val="center"/>
          </w:tcPr>
          <w:p w14:paraId="24C3BA1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手术间字典配置功能</w:t>
            </w:r>
          </w:p>
        </w:tc>
        <w:tc>
          <w:tcPr>
            <w:tcW w:w="4381" w:type="dxa"/>
            <w:vAlign w:val="center"/>
          </w:tcPr>
          <w:p w14:paraId="64B9507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能够通过HIS</w:t>
            </w:r>
            <w:r>
              <w:rPr>
                <w:rFonts w:hint="eastAsia" w:ascii="Times New Roman" w:hAnsi="Times New Roman" w:eastAsia="宋体" w:cs="Times New Roman"/>
                <w:b w:val="0"/>
                <w:bCs w:val="0"/>
                <w:color w:val="auto"/>
                <w:sz w:val="24"/>
                <w:szCs w:val="24"/>
                <w:lang w:val="en-US" w:eastAsia="zh-CN"/>
              </w:rPr>
              <w:t>自动</w:t>
            </w:r>
            <w:r>
              <w:rPr>
                <w:rFonts w:hint="eastAsia" w:ascii="Times New Roman" w:hAnsi="Times New Roman" w:eastAsia="宋体" w:cs="Times New Roman"/>
                <w:b w:val="0"/>
                <w:bCs w:val="0"/>
                <w:color w:val="auto"/>
                <w:sz w:val="24"/>
                <w:szCs w:val="24"/>
              </w:rPr>
              <w:t>更新本地字典，</w:t>
            </w:r>
            <w:r>
              <w:rPr>
                <w:rFonts w:hint="eastAsia" w:ascii="Times New Roman" w:hAnsi="Times New Roman" w:eastAsia="宋体" w:cs="Times New Roman"/>
                <w:b w:val="0"/>
                <w:bCs w:val="0"/>
                <w:color w:val="auto"/>
                <w:sz w:val="24"/>
                <w:szCs w:val="24"/>
                <w:lang w:val="en-US" w:eastAsia="zh-CN"/>
              </w:rPr>
              <w:t>包括</w:t>
            </w:r>
            <w:r>
              <w:rPr>
                <w:rFonts w:hint="eastAsia" w:ascii="Times New Roman" w:hAnsi="Times New Roman" w:eastAsia="宋体" w:cs="Times New Roman"/>
                <w:b w:val="0"/>
                <w:bCs w:val="0"/>
                <w:color w:val="auto"/>
                <w:sz w:val="24"/>
                <w:szCs w:val="24"/>
              </w:rPr>
              <w:t>科室、</w:t>
            </w:r>
            <w:r>
              <w:rPr>
                <w:rFonts w:hint="eastAsia" w:ascii="Times New Roman" w:hAnsi="Times New Roman" w:eastAsia="宋体" w:cs="Times New Roman"/>
                <w:b w:val="0"/>
                <w:bCs w:val="0"/>
                <w:color w:val="auto"/>
                <w:sz w:val="24"/>
                <w:szCs w:val="24"/>
                <w:lang w:val="en-US" w:eastAsia="zh-CN"/>
              </w:rPr>
              <w:t>人员、</w:t>
            </w:r>
            <w:r>
              <w:rPr>
                <w:rFonts w:hint="eastAsia" w:ascii="Times New Roman" w:hAnsi="Times New Roman" w:eastAsia="宋体" w:cs="Times New Roman"/>
                <w:b w:val="0"/>
                <w:bCs w:val="0"/>
                <w:color w:val="auto"/>
                <w:sz w:val="24"/>
                <w:szCs w:val="24"/>
              </w:rPr>
              <w:t>手术间</w:t>
            </w:r>
            <w:r>
              <w:rPr>
                <w:rFonts w:hint="eastAsia" w:ascii="Times New Roman" w:hAnsi="Times New Roman" w:eastAsia="宋体" w:cs="Times New Roman"/>
                <w:b w:val="0"/>
                <w:bCs w:val="0"/>
                <w:color w:val="auto"/>
                <w:sz w:val="24"/>
                <w:szCs w:val="24"/>
                <w:lang w:val="en-US" w:eastAsia="zh-CN"/>
              </w:rPr>
              <w:t>等</w:t>
            </w:r>
            <w:r>
              <w:rPr>
                <w:rFonts w:hint="eastAsia" w:ascii="Times New Roman" w:hAnsi="Times New Roman" w:eastAsia="宋体" w:cs="Times New Roman"/>
                <w:b w:val="0"/>
                <w:bCs w:val="0"/>
                <w:color w:val="auto"/>
                <w:sz w:val="24"/>
                <w:szCs w:val="24"/>
                <w:lang w:eastAsia="zh-CN"/>
              </w:rPr>
              <w:t>；</w:t>
            </w:r>
          </w:p>
          <w:p w14:paraId="0A688A4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支持用户手工维护本地字典。</w:t>
            </w:r>
          </w:p>
        </w:tc>
      </w:tr>
      <w:tr w14:paraId="7CCB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B3E3E9D">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E0DF21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0CB1C6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B41264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手术取消原因配置功能</w:t>
            </w:r>
          </w:p>
        </w:tc>
        <w:tc>
          <w:tcPr>
            <w:tcW w:w="4381" w:type="dxa"/>
            <w:vAlign w:val="center"/>
          </w:tcPr>
          <w:p w14:paraId="34A258D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能够维护手术取消原因。</w:t>
            </w:r>
          </w:p>
        </w:tc>
      </w:tr>
      <w:tr w14:paraId="60A9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9588200">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7F2B40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478CE0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115E012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常用字典配置功能</w:t>
            </w:r>
          </w:p>
        </w:tc>
        <w:tc>
          <w:tcPr>
            <w:tcW w:w="4381" w:type="dxa"/>
            <w:vAlign w:val="center"/>
          </w:tcPr>
          <w:p w14:paraId="47418EB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能够手工维护本地护理常用字典。</w:t>
            </w:r>
          </w:p>
        </w:tc>
      </w:tr>
      <w:tr w14:paraId="2116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3F4F37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6D000D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770FAB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559DFBE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器械包模板配置功能</w:t>
            </w:r>
          </w:p>
        </w:tc>
        <w:tc>
          <w:tcPr>
            <w:tcW w:w="4381" w:type="dxa"/>
            <w:vAlign w:val="center"/>
          </w:tcPr>
          <w:p w14:paraId="006593E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能够创建器械包模板和敷料模板，可对模板进行命名和分类维护。</w:t>
            </w:r>
          </w:p>
        </w:tc>
      </w:tr>
      <w:tr w14:paraId="5390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567" w:type="dxa"/>
            <w:noWrap/>
            <w:vAlign w:val="center"/>
          </w:tcPr>
          <w:p w14:paraId="1275D2BE">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6C3382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17CA60D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用户权限管理</w:t>
            </w:r>
          </w:p>
        </w:tc>
        <w:tc>
          <w:tcPr>
            <w:tcW w:w="1434" w:type="dxa"/>
            <w:vAlign w:val="center"/>
          </w:tcPr>
          <w:p w14:paraId="77D85A4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系统用户管理</w:t>
            </w:r>
          </w:p>
        </w:tc>
        <w:tc>
          <w:tcPr>
            <w:tcW w:w="4381" w:type="dxa"/>
            <w:vAlign w:val="center"/>
          </w:tcPr>
          <w:p w14:paraId="1807E3F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能够维护系统用户信息。</w:t>
            </w:r>
          </w:p>
          <w:p w14:paraId="638D51E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能够支持用户及密码管理，可以修改指定用户密码。</w:t>
            </w:r>
          </w:p>
          <w:p w14:paraId="0327613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能够为用户分配不同角色。</w:t>
            </w:r>
          </w:p>
        </w:tc>
      </w:tr>
      <w:tr w14:paraId="219C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67" w:type="dxa"/>
            <w:noWrap/>
            <w:vAlign w:val="center"/>
          </w:tcPr>
          <w:p w14:paraId="49F6DC64">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E3B234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143993E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FB2AEE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系统角色管理</w:t>
            </w:r>
          </w:p>
        </w:tc>
        <w:tc>
          <w:tcPr>
            <w:tcW w:w="4381" w:type="dxa"/>
            <w:vAlign w:val="center"/>
          </w:tcPr>
          <w:p w14:paraId="4919D56A">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能够编辑角色的名称。</w:t>
            </w:r>
          </w:p>
          <w:p w14:paraId="27CF596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能够对角色进行维护。</w:t>
            </w:r>
          </w:p>
        </w:tc>
      </w:tr>
      <w:tr w14:paraId="3923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5D9947D">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56EE73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9B46A9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1F0C24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系统权限管理</w:t>
            </w:r>
          </w:p>
        </w:tc>
        <w:tc>
          <w:tcPr>
            <w:tcW w:w="4381" w:type="dxa"/>
            <w:vAlign w:val="center"/>
          </w:tcPr>
          <w:p w14:paraId="147D3F5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能够通过对角色设定权限来限定具体某种角色可以用的功能。</w:t>
            </w:r>
          </w:p>
        </w:tc>
      </w:tr>
      <w:tr w14:paraId="505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42C3C1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7743EE5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5D728E2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病案管理</w:t>
            </w:r>
          </w:p>
        </w:tc>
        <w:tc>
          <w:tcPr>
            <w:tcW w:w="1434" w:type="dxa"/>
            <w:vAlign w:val="center"/>
          </w:tcPr>
          <w:p w14:paraId="3E28FB9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病案打印功能</w:t>
            </w:r>
          </w:p>
        </w:tc>
        <w:tc>
          <w:tcPr>
            <w:tcW w:w="4381" w:type="dxa"/>
            <w:vAlign w:val="center"/>
          </w:tcPr>
          <w:p w14:paraId="287A1B1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支持病案单独打印和集中打印。</w:t>
            </w:r>
          </w:p>
        </w:tc>
      </w:tr>
      <w:tr w14:paraId="0FEE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C4B482F">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854482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495EB5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737775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病案双面拼接打印功能</w:t>
            </w:r>
          </w:p>
        </w:tc>
        <w:tc>
          <w:tcPr>
            <w:tcW w:w="4381" w:type="dxa"/>
            <w:vAlign w:val="center"/>
          </w:tcPr>
          <w:p w14:paraId="78C489C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支持不同文书的双面拼接打印。</w:t>
            </w:r>
          </w:p>
        </w:tc>
      </w:tr>
      <w:tr w14:paraId="68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096DDAC">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69D88B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2E75D8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5CCFD6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病案完整性检查功能</w:t>
            </w:r>
          </w:p>
        </w:tc>
        <w:tc>
          <w:tcPr>
            <w:tcW w:w="4381" w:type="dxa"/>
            <w:vAlign w:val="center"/>
          </w:tcPr>
          <w:p w14:paraId="09194D7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1.支持</w:t>
            </w:r>
            <w:r>
              <w:rPr>
                <w:rFonts w:hint="eastAsia" w:ascii="Times New Roman" w:hAnsi="Times New Roman" w:eastAsia="宋体" w:cs="Times New Roman"/>
                <w:b w:val="0"/>
                <w:bCs w:val="0"/>
                <w:color w:val="auto"/>
                <w:kern w:val="0"/>
                <w:sz w:val="24"/>
                <w:szCs w:val="24"/>
                <w:lang w:bidi="ar"/>
              </w:rPr>
              <w:t>病案必填项提醒、缺项校验设定</w:t>
            </w:r>
            <w:r>
              <w:rPr>
                <w:rFonts w:hint="eastAsia" w:ascii="Times New Roman" w:hAnsi="Times New Roman" w:eastAsia="宋体" w:cs="Times New Roman"/>
                <w:b w:val="0"/>
                <w:bCs w:val="0"/>
                <w:color w:val="auto"/>
                <w:kern w:val="0"/>
                <w:sz w:val="24"/>
                <w:szCs w:val="24"/>
                <w:lang w:eastAsia="zh-CN" w:bidi="ar"/>
              </w:rPr>
              <w:t>，</w:t>
            </w:r>
            <w:r>
              <w:rPr>
                <w:rFonts w:hint="eastAsia" w:ascii="Times New Roman" w:hAnsi="Times New Roman" w:eastAsia="宋体" w:cs="Times New Roman"/>
                <w:b w:val="0"/>
                <w:bCs w:val="0"/>
                <w:color w:val="auto"/>
                <w:sz w:val="24"/>
                <w:szCs w:val="24"/>
              </w:rPr>
              <w:t>能够在病案提交时进行病案完整情况校验和提醒。</w:t>
            </w:r>
          </w:p>
        </w:tc>
      </w:tr>
      <w:tr w14:paraId="284B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2F1BD0B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9AD223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69AD77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4D7C707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病案上传归档功能</w:t>
            </w:r>
          </w:p>
        </w:tc>
        <w:tc>
          <w:tcPr>
            <w:tcW w:w="4381" w:type="dxa"/>
            <w:vAlign w:val="center"/>
          </w:tcPr>
          <w:p w14:paraId="1F83318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val="en-US" w:eastAsia="zh-CN" w:bidi="ar"/>
              </w:rPr>
              <w:t>1.支持</w:t>
            </w:r>
            <w:r>
              <w:rPr>
                <w:rFonts w:hint="eastAsia" w:ascii="Times New Roman" w:hAnsi="Times New Roman" w:eastAsia="宋体" w:cs="Times New Roman"/>
                <w:b w:val="0"/>
                <w:bCs w:val="0"/>
                <w:color w:val="auto"/>
                <w:kern w:val="0"/>
                <w:sz w:val="24"/>
                <w:szCs w:val="24"/>
                <w:lang w:bidi="ar"/>
              </w:rPr>
              <w:t>病案上传、归档、生成PDF文件</w:t>
            </w:r>
            <w:r>
              <w:rPr>
                <w:rFonts w:hint="eastAsia" w:ascii="Times New Roman" w:hAnsi="Times New Roman" w:eastAsia="宋体" w:cs="Times New Roman"/>
                <w:b w:val="0"/>
                <w:bCs w:val="0"/>
                <w:color w:val="auto"/>
                <w:kern w:val="0"/>
                <w:sz w:val="24"/>
                <w:szCs w:val="24"/>
                <w:lang w:eastAsia="zh-CN" w:bidi="ar"/>
              </w:rPr>
              <w:t>，</w:t>
            </w:r>
            <w:r>
              <w:rPr>
                <w:rFonts w:hint="eastAsia" w:ascii="Times New Roman" w:hAnsi="Times New Roman" w:eastAsia="宋体" w:cs="Times New Roman"/>
                <w:b w:val="0"/>
                <w:bCs w:val="0"/>
                <w:color w:val="auto"/>
                <w:kern w:val="0"/>
                <w:sz w:val="24"/>
                <w:szCs w:val="24"/>
                <w:lang w:val="en-US" w:eastAsia="zh-CN" w:bidi="ar"/>
              </w:rPr>
              <w:t>支持</w:t>
            </w:r>
            <w:r>
              <w:rPr>
                <w:rFonts w:hint="eastAsia" w:ascii="Times New Roman" w:hAnsi="Times New Roman" w:eastAsia="宋体" w:cs="Times New Roman"/>
                <w:b w:val="0"/>
                <w:bCs w:val="0"/>
                <w:color w:val="auto"/>
                <w:sz w:val="24"/>
                <w:szCs w:val="24"/>
              </w:rPr>
              <w:t>病案</w:t>
            </w:r>
            <w:r>
              <w:rPr>
                <w:rFonts w:hint="eastAsia" w:ascii="Times New Roman" w:hAnsi="Times New Roman" w:eastAsia="宋体" w:cs="Times New Roman"/>
                <w:b w:val="0"/>
                <w:bCs w:val="0"/>
                <w:color w:val="auto"/>
                <w:sz w:val="24"/>
                <w:szCs w:val="24"/>
                <w:lang w:val="en-US" w:eastAsia="zh-CN"/>
              </w:rPr>
              <w:t>上传</w:t>
            </w:r>
            <w:r>
              <w:rPr>
                <w:rFonts w:hint="eastAsia" w:ascii="Times New Roman" w:hAnsi="Times New Roman" w:eastAsia="宋体" w:cs="Times New Roman"/>
                <w:b w:val="0"/>
                <w:bCs w:val="0"/>
                <w:color w:val="auto"/>
                <w:sz w:val="24"/>
                <w:szCs w:val="24"/>
              </w:rPr>
              <w:t>归档</w:t>
            </w:r>
            <w:r>
              <w:rPr>
                <w:rFonts w:hint="eastAsia" w:ascii="Times New Roman" w:hAnsi="Times New Roman" w:eastAsia="宋体" w:cs="Times New Roman"/>
                <w:b w:val="0"/>
                <w:bCs w:val="0"/>
                <w:color w:val="auto"/>
                <w:sz w:val="24"/>
                <w:szCs w:val="24"/>
                <w:lang w:val="en-US" w:eastAsia="zh-CN"/>
              </w:rPr>
              <w:t>功能</w:t>
            </w:r>
            <w:r>
              <w:rPr>
                <w:rFonts w:hint="eastAsia" w:ascii="Times New Roman" w:hAnsi="Times New Roman" w:eastAsia="宋体" w:cs="Times New Roman"/>
                <w:b w:val="0"/>
                <w:bCs w:val="0"/>
                <w:color w:val="auto"/>
                <w:sz w:val="24"/>
                <w:szCs w:val="24"/>
              </w:rPr>
              <w:t>。</w:t>
            </w:r>
          </w:p>
        </w:tc>
      </w:tr>
      <w:tr w14:paraId="0641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75C8077A">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CCEC3F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483B89A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系统集成</w:t>
            </w:r>
          </w:p>
        </w:tc>
        <w:tc>
          <w:tcPr>
            <w:tcW w:w="1434" w:type="dxa"/>
            <w:vAlign w:val="center"/>
          </w:tcPr>
          <w:p w14:paraId="2941C68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HIS系统接口</w:t>
            </w:r>
          </w:p>
        </w:tc>
        <w:tc>
          <w:tcPr>
            <w:tcW w:w="4381" w:type="dxa"/>
            <w:vAlign w:val="center"/>
          </w:tcPr>
          <w:p w14:paraId="00879BB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与医院HIS系统对接，同步患者信息，</w:t>
            </w:r>
            <w:r>
              <w:rPr>
                <w:rFonts w:hint="eastAsia" w:ascii="Times New Roman" w:hAnsi="Times New Roman" w:eastAsia="宋体" w:cs="Times New Roman"/>
                <w:b w:val="0"/>
                <w:bCs w:val="0"/>
                <w:color w:val="auto"/>
                <w:sz w:val="24"/>
                <w:szCs w:val="24"/>
                <w:lang w:val="en-US" w:eastAsia="zh-CN"/>
              </w:rPr>
              <w:t>支持</w:t>
            </w:r>
            <w:r>
              <w:rPr>
                <w:rFonts w:hint="eastAsia" w:ascii="Times New Roman" w:hAnsi="Times New Roman" w:eastAsia="宋体" w:cs="Times New Roman"/>
                <w:b w:val="0"/>
                <w:bCs w:val="0"/>
                <w:color w:val="auto"/>
                <w:sz w:val="24"/>
                <w:szCs w:val="24"/>
              </w:rPr>
              <w:t>HL7，Web Service或者数据库视图</w:t>
            </w:r>
            <w:r>
              <w:rPr>
                <w:rFonts w:hint="eastAsia" w:ascii="Times New Roman" w:hAnsi="Times New Roman" w:eastAsia="宋体" w:cs="Times New Roman"/>
                <w:b w:val="0"/>
                <w:bCs w:val="0"/>
                <w:color w:val="auto"/>
                <w:sz w:val="24"/>
                <w:szCs w:val="24"/>
                <w:lang w:val="en-US" w:eastAsia="zh-CN"/>
              </w:rPr>
              <w:t>等多种集成</w:t>
            </w:r>
            <w:r>
              <w:rPr>
                <w:rFonts w:hint="eastAsia" w:ascii="Times New Roman" w:hAnsi="Times New Roman" w:eastAsia="宋体" w:cs="Times New Roman"/>
                <w:b w:val="0"/>
                <w:bCs w:val="0"/>
                <w:color w:val="auto"/>
                <w:sz w:val="24"/>
                <w:szCs w:val="24"/>
              </w:rPr>
              <w:t>方式。</w:t>
            </w:r>
          </w:p>
        </w:tc>
      </w:tr>
      <w:tr w14:paraId="315B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2175359D">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CD10E8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7F59578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0178B5F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检验系统接口</w:t>
            </w:r>
          </w:p>
        </w:tc>
        <w:tc>
          <w:tcPr>
            <w:tcW w:w="4381" w:type="dxa"/>
            <w:vAlign w:val="center"/>
          </w:tcPr>
          <w:p w14:paraId="4AAE34B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1.与医院</w:t>
            </w:r>
            <w:r>
              <w:rPr>
                <w:rFonts w:hint="eastAsia" w:ascii="Times New Roman" w:hAnsi="Times New Roman" w:eastAsia="宋体" w:cs="Times New Roman"/>
                <w:b w:val="0"/>
                <w:bCs w:val="0"/>
                <w:color w:val="auto"/>
                <w:sz w:val="24"/>
                <w:szCs w:val="24"/>
              </w:rPr>
              <w:t>LIS系统</w:t>
            </w:r>
            <w:r>
              <w:rPr>
                <w:rFonts w:hint="eastAsia" w:ascii="Times New Roman" w:hAnsi="Times New Roman" w:eastAsia="宋体" w:cs="Times New Roman"/>
                <w:b w:val="0"/>
                <w:bCs w:val="0"/>
                <w:color w:val="auto"/>
                <w:sz w:val="24"/>
                <w:szCs w:val="24"/>
                <w:lang w:val="en-US" w:eastAsia="zh-CN"/>
              </w:rPr>
              <w:t>对接，</w:t>
            </w:r>
            <w:r>
              <w:rPr>
                <w:rFonts w:hint="eastAsia" w:ascii="Times New Roman" w:hAnsi="Times New Roman" w:eastAsia="宋体" w:cs="Times New Roman"/>
                <w:b w:val="0"/>
                <w:bCs w:val="0"/>
                <w:color w:val="auto"/>
                <w:sz w:val="24"/>
                <w:szCs w:val="24"/>
              </w:rPr>
              <w:t>获取检验报告信息。</w:t>
            </w:r>
          </w:p>
        </w:tc>
      </w:tr>
      <w:tr w14:paraId="755C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24673CB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44BFC8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61BDEA1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FF1218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手麻系统接口</w:t>
            </w:r>
          </w:p>
        </w:tc>
        <w:tc>
          <w:tcPr>
            <w:tcW w:w="4381" w:type="dxa"/>
            <w:vAlign w:val="center"/>
          </w:tcPr>
          <w:p w14:paraId="5CFDE06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与医院当前使用的麻醉系统对接，同步患者麻醉相关信息。</w:t>
            </w:r>
          </w:p>
        </w:tc>
      </w:tr>
      <w:tr w14:paraId="5167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5CD814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5425D7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473163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7EDB372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供应室系统接口</w:t>
            </w:r>
          </w:p>
        </w:tc>
        <w:tc>
          <w:tcPr>
            <w:tcW w:w="4381" w:type="dxa"/>
            <w:vAlign w:val="center"/>
          </w:tcPr>
          <w:p w14:paraId="145D882B">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与医院当前使用的供应室系统对接，获取器械包基本信息和器械包明细信息。</w:t>
            </w:r>
          </w:p>
        </w:tc>
      </w:tr>
      <w:tr w14:paraId="7ECD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3A6C6FD">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C3CEB9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B061FE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E078F8F">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调用第三方病理系统界面</w:t>
            </w:r>
          </w:p>
        </w:tc>
        <w:tc>
          <w:tcPr>
            <w:tcW w:w="4381" w:type="dxa"/>
            <w:vAlign w:val="center"/>
          </w:tcPr>
          <w:p w14:paraId="760D1C1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支持调用第三方病理系统，查看患者病理报告。</w:t>
            </w:r>
          </w:p>
        </w:tc>
      </w:tr>
      <w:tr w14:paraId="2848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4A3D3D9">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4D436F0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6E10100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577407C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集成平台对接</w:t>
            </w:r>
          </w:p>
        </w:tc>
        <w:tc>
          <w:tcPr>
            <w:tcW w:w="4381" w:type="dxa"/>
            <w:vAlign w:val="center"/>
          </w:tcPr>
          <w:p w14:paraId="284E7EF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1.手术护理相关文书对接医院集成平台。</w:t>
            </w:r>
          </w:p>
        </w:tc>
      </w:tr>
      <w:tr w14:paraId="770F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613E04E">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FE6D43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6D311F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51FCBC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区域信息对接</w:t>
            </w:r>
          </w:p>
        </w:tc>
        <w:tc>
          <w:tcPr>
            <w:tcW w:w="4381" w:type="dxa"/>
            <w:vAlign w:val="center"/>
          </w:tcPr>
          <w:p w14:paraId="54BC113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对接区域信息:护理评估时，可同屏直接查阅患者本机构和区域内外部医疗机构的主要医疗记录(包括:住院病案首页、门急诊病历、诊断证明书、住院医嘱、门诊处方、检验结果、检查报告等;外部医疗机构记录不少于3类);</w:t>
            </w:r>
          </w:p>
        </w:tc>
      </w:tr>
      <w:tr w14:paraId="4662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5E409109">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4B1F74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2D4B49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60342AE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电子签名（电子签章）</w:t>
            </w:r>
          </w:p>
        </w:tc>
        <w:tc>
          <w:tcPr>
            <w:tcW w:w="4381" w:type="dxa"/>
            <w:vAlign w:val="center"/>
          </w:tcPr>
          <w:p w14:paraId="521300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jc w:val="both"/>
              <w:textAlignment w:val="baseline"/>
              <w:rPr>
                <w:sz w:val="24"/>
                <w:szCs w:val="24"/>
              </w:rPr>
            </w:pPr>
            <w:r>
              <w:rPr>
                <w:rFonts w:hint="eastAsia" w:ascii="宋体" w:hAnsi="宋体" w:eastAsia="宋体" w:cs="宋体"/>
                <w:b w:val="0"/>
                <w:bCs w:val="0"/>
                <w:sz w:val="24"/>
                <w:szCs w:val="24"/>
                <w:vertAlign w:val="baseline"/>
                <w:lang w:val="en-US" w:eastAsia="zh-CN"/>
              </w:rPr>
              <w:t>1.支</w:t>
            </w:r>
            <w:r>
              <w:rPr>
                <w:rFonts w:ascii="宋体" w:hAnsi="宋体" w:eastAsia="宋体" w:cs="宋体"/>
                <w:b w:val="0"/>
                <w:bCs w:val="0"/>
                <w:sz w:val="24"/>
                <w:szCs w:val="24"/>
                <w:vertAlign w:val="baseline"/>
              </w:rPr>
              <w:t>持图片式电子签名。</w:t>
            </w:r>
          </w:p>
          <w:p w14:paraId="06B4BFE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sz w:val="24"/>
                <w:szCs w:val="24"/>
                <w:vertAlign w:val="baseline"/>
              </w:rPr>
              <w:t>2.</w:t>
            </w:r>
            <w:r>
              <w:rPr>
                <w:rFonts w:ascii="宋体" w:hAnsi="宋体" w:eastAsia="宋体" w:cs="宋体"/>
                <w:b w:val="0"/>
                <w:bCs w:val="0"/>
                <w:sz w:val="24"/>
                <w:szCs w:val="24"/>
                <w:vertAlign w:val="baseline"/>
              </w:rPr>
              <w:t>对接</w:t>
            </w:r>
            <w:r>
              <w:rPr>
                <w:rFonts w:hint="default" w:ascii="Times New Roman" w:hAnsi="Times New Roman" w:cs="Times New Roman"/>
                <w:b w:val="0"/>
                <w:bCs w:val="0"/>
                <w:sz w:val="24"/>
                <w:szCs w:val="24"/>
                <w:vertAlign w:val="baseline"/>
              </w:rPr>
              <w:t>CA</w:t>
            </w:r>
            <w:r>
              <w:rPr>
                <w:rFonts w:ascii="宋体" w:hAnsi="宋体" w:eastAsia="宋体" w:cs="宋体"/>
                <w:b w:val="0"/>
                <w:bCs w:val="0"/>
                <w:sz w:val="24"/>
                <w:szCs w:val="24"/>
                <w:vertAlign w:val="baseline"/>
              </w:rPr>
              <w:t>系统，在报告审核和打印时自动签入电子</w:t>
            </w:r>
            <w:r>
              <w:rPr>
                <w:rFonts w:hint="eastAsia" w:ascii="宋体" w:hAnsi="宋体" w:eastAsia="宋体" w:cs="宋体"/>
                <w:b w:val="0"/>
                <w:bCs w:val="0"/>
                <w:sz w:val="24"/>
                <w:szCs w:val="24"/>
                <w:vertAlign w:val="baseline"/>
                <w:lang w:val="en-US" w:eastAsia="zh-CN"/>
              </w:rPr>
              <w:t>签章</w:t>
            </w:r>
          </w:p>
        </w:tc>
      </w:tr>
      <w:tr w14:paraId="2327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2BFDAE7B">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A1F115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0A9AAF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3A110AB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一号通及单点登录</w:t>
            </w:r>
          </w:p>
        </w:tc>
        <w:tc>
          <w:tcPr>
            <w:tcW w:w="4381" w:type="dxa"/>
            <w:vAlign w:val="center"/>
          </w:tcPr>
          <w:p w14:paraId="45DA07B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jc w:val="both"/>
              <w:textAlignment w:val="baseline"/>
              <w:rPr>
                <w:sz w:val="24"/>
                <w:szCs w:val="24"/>
              </w:rPr>
            </w:pPr>
            <w:r>
              <w:rPr>
                <w:rFonts w:hint="eastAsia" w:ascii="宋体" w:hAnsi="宋体" w:eastAsia="宋体" w:cs="宋体"/>
                <w:b w:val="0"/>
                <w:bCs w:val="0"/>
                <w:sz w:val="24"/>
                <w:szCs w:val="24"/>
                <w:vertAlign w:val="baseline"/>
                <w:lang w:val="en-US" w:eastAsia="zh-CN"/>
              </w:rPr>
              <w:t>1.</w:t>
            </w:r>
            <w:r>
              <w:rPr>
                <w:rFonts w:ascii="宋体" w:hAnsi="宋体" w:eastAsia="宋体" w:cs="宋体"/>
                <w:b w:val="0"/>
                <w:bCs w:val="0"/>
                <w:sz w:val="24"/>
                <w:szCs w:val="24"/>
                <w:vertAlign w:val="baseline"/>
              </w:rPr>
              <w:t>与我院一号通服务对接，实现用户账号密码一致性。</w:t>
            </w:r>
          </w:p>
          <w:p w14:paraId="48CF9B7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rPr>
              <w:t>2.</w:t>
            </w:r>
            <w:r>
              <w:rPr>
                <w:rFonts w:ascii="宋体" w:hAnsi="宋体" w:eastAsia="宋体" w:cs="宋体"/>
                <w:b w:val="0"/>
                <w:bCs w:val="0"/>
                <w:sz w:val="24"/>
                <w:szCs w:val="24"/>
                <w:vertAlign w:val="baseline"/>
              </w:rPr>
              <w:t>支持单点登录，可对接我院系统集成应用平台</w:t>
            </w:r>
            <w:r>
              <w:rPr>
                <w:rFonts w:hint="eastAsia" w:ascii="宋体" w:hAnsi="宋体" w:eastAsia="宋体" w:cs="宋体"/>
                <w:b w:val="0"/>
                <w:bCs w:val="0"/>
                <w:sz w:val="24"/>
                <w:szCs w:val="24"/>
                <w:vertAlign w:val="baseline"/>
                <w:lang w:eastAsia="zh-CN"/>
              </w:rPr>
              <w:t>。</w:t>
            </w:r>
          </w:p>
        </w:tc>
      </w:tr>
      <w:tr w14:paraId="6D0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67" w:type="dxa"/>
            <w:noWrap/>
            <w:vAlign w:val="center"/>
          </w:tcPr>
          <w:p w14:paraId="7256AA21">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C5C581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2C7A1F8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手术设备管理</w:t>
            </w:r>
          </w:p>
        </w:tc>
        <w:tc>
          <w:tcPr>
            <w:tcW w:w="1434" w:type="dxa"/>
            <w:vAlign w:val="center"/>
          </w:tcPr>
          <w:p w14:paraId="0608EAC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设备字典维护功能</w:t>
            </w:r>
          </w:p>
        </w:tc>
        <w:tc>
          <w:tcPr>
            <w:tcW w:w="4381" w:type="dxa"/>
            <w:vAlign w:val="center"/>
          </w:tcPr>
          <w:p w14:paraId="0D3259E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能够对手术间设备字典</w:t>
            </w:r>
            <w:r>
              <w:rPr>
                <w:rFonts w:hint="eastAsia" w:ascii="Times New Roman" w:hAnsi="Times New Roman" w:eastAsia="宋体" w:cs="Times New Roman"/>
                <w:b w:val="0"/>
                <w:bCs w:val="0"/>
                <w:color w:val="auto"/>
                <w:sz w:val="24"/>
                <w:szCs w:val="24"/>
                <w:lang w:val="en-US" w:eastAsia="zh-CN"/>
              </w:rPr>
              <w:t>进行</w:t>
            </w:r>
            <w:r>
              <w:rPr>
                <w:rFonts w:hint="eastAsia" w:ascii="Times New Roman" w:hAnsi="Times New Roman" w:eastAsia="宋体" w:cs="Times New Roman"/>
                <w:b w:val="0"/>
                <w:bCs w:val="0"/>
                <w:color w:val="auto"/>
                <w:sz w:val="24"/>
                <w:szCs w:val="24"/>
              </w:rPr>
              <w:t>维护。</w:t>
            </w:r>
          </w:p>
          <w:p w14:paraId="610781A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支持手术间设备批量导入功能。</w:t>
            </w:r>
          </w:p>
          <w:p w14:paraId="0B1BEC4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支持导入模板配置。</w:t>
            </w:r>
          </w:p>
          <w:p w14:paraId="19C9034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rPr>
              <w:t>支持增加单个手术间设备信息。</w:t>
            </w:r>
          </w:p>
          <w:p w14:paraId="115F377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5.</w:t>
            </w:r>
            <w:r>
              <w:rPr>
                <w:rFonts w:hint="eastAsia" w:ascii="Times New Roman" w:hAnsi="Times New Roman" w:eastAsia="宋体" w:cs="Times New Roman"/>
                <w:b w:val="0"/>
                <w:bCs w:val="0"/>
                <w:color w:val="auto"/>
                <w:sz w:val="24"/>
                <w:szCs w:val="24"/>
              </w:rPr>
              <w:t>支持对手术间设备信息进行批量维护。</w:t>
            </w:r>
          </w:p>
          <w:p w14:paraId="226FBF9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rPr>
              <w:t>支持对手术间设备信息进行单个维护。</w:t>
            </w:r>
          </w:p>
        </w:tc>
      </w:tr>
      <w:tr w14:paraId="7152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7" w:type="dxa"/>
            <w:noWrap/>
            <w:vAlign w:val="center"/>
          </w:tcPr>
          <w:p w14:paraId="6BD7CFE1">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43C70B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3BD4D3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5A2A07A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设备术中使用记录功能</w:t>
            </w:r>
          </w:p>
        </w:tc>
        <w:tc>
          <w:tcPr>
            <w:tcW w:w="4381" w:type="dxa"/>
            <w:vAlign w:val="center"/>
          </w:tcPr>
          <w:p w14:paraId="3160AC1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支持自动显示当前手术间设备列表。</w:t>
            </w:r>
          </w:p>
          <w:p w14:paraId="059D7C6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支持手术间设备绑定患者，并记录设备使用时长，使用次数信息。</w:t>
            </w:r>
          </w:p>
          <w:p w14:paraId="22A2011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支持通过扫描设备条码方式快速绑定患者。</w:t>
            </w:r>
          </w:p>
        </w:tc>
      </w:tr>
      <w:tr w14:paraId="1E88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FD19E6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4DB404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D115E4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013D440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设备信息查询功能</w:t>
            </w:r>
          </w:p>
        </w:tc>
        <w:tc>
          <w:tcPr>
            <w:tcW w:w="4381" w:type="dxa"/>
            <w:vAlign w:val="center"/>
          </w:tcPr>
          <w:p w14:paraId="5FC3B8E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支持根据设备名称等条件快速查询设备相关信息。</w:t>
            </w:r>
          </w:p>
        </w:tc>
      </w:tr>
      <w:tr w14:paraId="3D2A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1643416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9D3DE9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77E63D9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417601F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手术间设备使用情况统计功能</w:t>
            </w:r>
          </w:p>
        </w:tc>
        <w:tc>
          <w:tcPr>
            <w:tcW w:w="4381" w:type="dxa"/>
            <w:vAlign w:val="center"/>
          </w:tcPr>
          <w:p w14:paraId="7AB3CC5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支持设备使用情况统计。</w:t>
            </w:r>
          </w:p>
        </w:tc>
      </w:tr>
      <w:tr w14:paraId="062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67FC8912">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38A042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44EC92D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sz w:val="24"/>
                <w:szCs w:val="24"/>
              </w:rPr>
              <w:t>手术室质控管理</w:t>
            </w:r>
          </w:p>
        </w:tc>
        <w:tc>
          <w:tcPr>
            <w:tcW w:w="1434" w:type="dxa"/>
            <w:vAlign w:val="center"/>
          </w:tcPr>
          <w:p w14:paraId="4953646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sz w:val="24"/>
                <w:szCs w:val="24"/>
              </w:rPr>
              <w:t>手术护理质控数据统计</w:t>
            </w:r>
          </w:p>
        </w:tc>
        <w:tc>
          <w:tcPr>
            <w:tcW w:w="4381" w:type="dxa"/>
            <w:vAlign w:val="center"/>
          </w:tcPr>
          <w:p w14:paraId="07C96B8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提供质控单，录入相关数据，对质控指标进行监测。</w:t>
            </w:r>
          </w:p>
          <w:p w14:paraId="13D9B1E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能够对专科敏感指标进行数据抓取和汇总报表。</w:t>
            </w:r>
          </w:p>
        </w:tc>
      </w:tr>
      <w:tr w14:paraId="4E5A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67" w:type="dxa"/>
            <w:noWrap/>
            <w:vAlign w:val="center"/>
          </w:tcPr>
          <w:p w14:paraId="1D196613">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00F371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82B8DE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4004A2D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护理文书质控功能</w:t>
            </w:r>
          </w:p>
        </w:tc>
        <w:tc>
          <w:tcPr>
            <w:tcW w:w="4381" w:type="dxa"/>
            <w:vAlign w:val="center"/>
          </w:tcPr>
          <w:p w14:paraId="7C27FCB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1.可</w:t>
            </w:r>
            <w:r>
              <w:rPr>
                <w:rFonts w:hint="eastAsia" w:ascii="Times New Roman" w:hAnsi="Times New Roman" w:eastAsia="宋体" w:cs="Times New Roman"/>
                <w:b w:val="0"/>
                <w:bCs w:val="0"/>
                <w:color w:val="auto"/>
                <w:sz w:val="24"/>
                <w:szCs w:val="24"/>
              </w:rPr>
              <w:t>设置文书必填项</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rPr>
              <w:t>能够对护理文书进行质控，</w:t>
            </w:r>
            <w:r>
              <w:rPr>
                <w:rFonts w:hint="eastAsia" w:ascii="Times New Roman" w:hAnsi="Times New Roman" w:eastAsia="宋体" w:cs="Times New Roman"/>
                <w:b w:val="0"/>
                <w:bCs w:val="0"/>
                <w:color w:val="auto"/>
                <w:kern w:val="0"/>
                <w:sz w:val="24"/>
                <w:szCs w:val="24"/>
                <w:lang w:bidi="ar"/>
              </w:rPr>
              <w:t>支持护理文书必填项提醒</w:t>
            </w:r>
          </w:p>
        </w:tc>
      </w:tr>
      <w:tr w14:paraId="0F54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567" w:type="dxa"/>
            <w:noWrap/>
            <w:vAlign w:val="center"/>
          </w:tcPr>
          <w:p w14:paraId="7ED06A8E">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F972F2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2DC3249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2B9636F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低体温预警功能</w:t>
            </w:r>
          </w:p>
        </w:tc>
        <w:tc>
          <w:tcPr>
            <w:tcW w:w="4381" w:type="dxa"/>
            <w:vAlign w:val="center"/>
          </w:tcPr>
          <w:p w14:paraId="052F6E0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支持术中低体温预警，提供低体温保护措施提示。</w:t>
            </w:r>
          </w:p>
          <w:p w14:paraId="1E6B3A3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支持低体温阈值设置功能。</w:t>
            </w:r>
          </w:p>
          <w:p w14:paraId="09BB516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支持低体温保护措施自定义配置。</w:t>
            </w:r>
          </w:p>
        </w:tc>
      </w:tr>
      <w:tr w14:paraId="4F8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4C0BCE06">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D0D199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46005DF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压疮管理</w:t>
            </w:r>
          </w:p>
        </w:tc>
        <w:tc>
          <w:tcPr>
            <w:tcW w:w="1434" w:type="dxa"/>
            <w:vAlign w:val="center"/>
          </w:tcPr>
          <w:p w14:paraId="2E2D56C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压疮记录功能</w:t>
            </w:r>
          </w:p>
        </w:tc>
        <w:tc>
          <w:tcPr>
            <w:tcW w:w="4381" w:type="dxa"/>
            <w:vAlign w:val="center"/>
          </w:tcPr>
          <w:p w14:paraId="721C076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支持医院定制压疮评估记录单，支持打印。</w:t>
            </w:r>
          </w:p>
        </w:tc>
      </w:tr>
      <w:tr w14:paraId="347A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7" w:type="dxa"/>
            <w:noWrap/>
            <w:vAlign w:val="center"/>
          </w:tcPr>
          <w:p w14:paraId="1DBB3A65">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59EAA13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613A84BA">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4B283EB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sz w:val="24"/>
                <w:szCs w:val="24"/>
              </w:rPr>
              <w:t>压疮预警功能</w:t>
            </w:r>
          </w:p>
        </w:tc>
        <w:tc>
          <w:tcPr>
            <w:tcW w:w="4381" w:type="dxa"/>
            <w:vAlign w:val="center"/>
          </w:tcPr>
          <w:p w14:paraId="6F9E9C61">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支持自动筛选压疮风险高危患者并进行标记。</w:t>
            </w:r>
          </w:p>
          <w:p w14:paraId="2DFB6C7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2.可</w:t>
            </w:r>
            <w:r>
              <w:rPr>
                <w:rFonts w:hint="eastAsia" w:ascii="Times New Roman" w:hAnsi="Times New Roman" w:eastAsia="宋体" w:cs="Times New Roman"/>
                <w:b w:val="0"/>
                <w:bCs w:val="0"/>
                <w:color w:val="auto"/>
                <w:sz w:val="24"/>
                <w:szCs w:val="24"/>
              </w:rPr>
              <w:t>根据术中压疮评分，提供干预措施提示。</w:t>
            </w:r>
          </w:p>
        </w:tc>
      </w:tr>
      <w:tr w14:paraId="085F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29F2FAD4">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6E1C192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3FA5B65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1434" w:type="dxa"/>
            <w:vAlign w:val="center"/>
          </w:tcPr>
          <w:p w14:paraId="15F98052">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高风险压疮统计</w:t>
            </w:r>
          </w:p>
        </w:tc>
        <w:tc>
          <w:tcPr>
            <w:tcW w:w="4381" w:type="dxa"/>
            <w:vAlign w:val="center"/>
          </w:tcPr>
          <w:p w14:paraId="264A0913">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能够对高危压疮手术患者进行统计查询。</w:t>
            </w:r>
          </w:p>
        </w:tc>
      </w:tr>
      <w:tr w14:paraId="1B3D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567" w:type="dxa"/>
            <w:noWrap/>
            <w:vAlign w:val="center"/>
          </w:tcPr>
          <w:p w14:paraId="6EDFC008">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237983F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restart"/>
            <w:vAlign w:val="center"/>
          </w:tcPr>
          <w:p w14:paraId="145FA57B">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移动端手术护理管理</w:t>
            </w:r>
          </w:p>
        </w:tc>
        <w:tc>
          <w:tcPr>
            <w:tcW w:w="1434" w:type="dxa"/>
            <w:vAlign w:val="center"/>
          </w:tcPr>
          <w:p w14:paraId="4A19748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移动端基本功能</w:t>
            </w:r>
          </w:p>
        </w:tc>
        <w:tc>
          <w:tcPr>
            <w:tcW w:w="4381" w:type="dxa"/>
            <w:vAlign w:val="center"/>
          </w:tcPr>
          <w:p w14:paraId="0BD1C509">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能够在联网状态下自动下载待处理患者信息到本地。</w:t>
            </w:r>
          </w:p>
          <w:p w14:paraId="48D33840">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2.可</w:t>
            </w:r>
            <w:r>
              <w:rPr>
                <w:rFonts w:hint="eastAsia" w:ascii="Times New Roman" w:hAnsi="Times New Roman" w:eastAsia="宋体" w:cs="Times New Roman"/>
                <w:b w:val="0"/>
                <w:bCs w:val="0"/>
                <w:color w:val="auto"/>
                <w:sz w:val="24"/>
                <w:szCs w:val="24"/>
              </w:rPr>
              <w:t>自动进行数据字典同步。</w:t>
            </w:r>
          </w:p>
          <w:p w14:paraId="6ED4037B">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能够通过</w:t>
            </w:r>
            <w:r>
              <w:rPr>
                <w:rFonts w:hint="eastAsia" w:ascii="Times New Roman" w:hAnsi="Times New Roman" w:eastAsia="宋体" w:cs="Times New Roman"/>
                <w:b w:val="0"/>
                <w:bCs w:val="0"/>
                <w:color w:val="auto"/>
                <w:sz w:val="24"/>
                <w:szCs w:val="24"/>
                <w:lang w:val="en-US" w:eastAsia="zh-CN"/>
              </w:rPr>
              <w:t>扫描腕带</w:t>
            </w:r>
            <w:r>
              <w:rPr>
                <w:rFonts w:hint="eastAsia" w:ascii="Times New Roman" w:hAnsi="Times New Roman" w:eastAsia="宋体" w:cs="Times New Roman"/>
                <w:b w:val="0"/>
                <w:bCs w:val="0"/>
                <w:color w:val="auto"/>
                <w:sz w:val="24"/>
                <w:szCs w:val="24"/>
              </w:rPr>
              <w:t>快速定位患者。</w:t>
            </w:r>
          </w:p>
        </w:tc>
      </w:tr>
      <w:tr w14:paraId="7D35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567" w:type="dxa"/>
            <w:noWrap/>
            <w:vAlign w:val="center"/>
          </w:tcPr>
          <w:p w14:paraId="5274AD60">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D1935B3">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5D98355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4CE1E61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移动患者身份核查功能</w:t>
            </w:r>
          </w:p>
        </w:tc>
        <w:tc>
          <w:tcPr>
            <w:tcW w:w="4381" w:type="dxa"/>
            <w:vAlign w:val="center"/>
          </w:tcPr>
          <w:p w14:paraId="65399429">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能够在手术室大门通过移动端扫描患者腕带，核对患者姓名、性别、床号等基本信息，进行身份确认。</w:t>
            </w:r>
          </w:p>
          <w:p w14:paraId="06832BA8">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能够在手术间门口通过移动端扫描患者腕带，核对患者手术信息，进行身份身份确认。</w:t>
            </w:r>
          </w:p>
        </w:tc>
      </w:tr>
      <w:tr w14:paraId="71E6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00D51194">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E3FB28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18741B3D">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1E22D254">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移动安全核查功能</w:t>
            </w:r>
          </w:p>
        </w:tc>
        <w:tc>
          <w:tcPr>
            <w:tcW w:w="4381" w:type="dxa"/>
            <w:vAlign w:val="center"/>
          </w:tcPr>
          <w:p w14:paraId="44C42DCB">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kern w:val="0"/>
                <w:sz w:val="24"/>
                <w:szCs w:val="24"/>
                <w:lang w:bidi="ar"/>
              </w:rPr>
              <w:t>支持移动端的安全核查记录功能</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rPr>
              <w:t>移动端进行手术医生、麻醉医生、手术室护士在麻醉实施前、手术开始前、患者出手术室前对手术患者身份</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rPr>
              <w:t>手术部位</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术式、麻醉方式</w:t>
            </w:r>
            <w:r>
              <w:rPr>
                <w:rFonts w:hint="eastAsia" w:ascii="Times New Roman" w:hAnsi="Times New Roman" w:eastAsia="宋体" w:cs="Times New Roman"/>
                <w:b w:val="0"/>
                <w:bCs w:val="0"/>
                <w:color w:val="auto"/>
                <w:sz w:val="24"/>
                <w:szCs w:val="24"/>
              </w:rPr>
              <w:t>等内容进行核查确认，完成手术安全核查单。</w:t>
            </w:r>
          </w:p>
        </w:tc>
      </w:tr>
      <w:tr w14:paraId="399F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noWrap/>
            <w:vAlign w:val="center"/>
          </w:tcPr>
          <w:p w14:paraId="3CF03C11">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3DA4611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6551F1D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shd w:val="clear" w:color="auto" w:fill="auto"/>
            <w:vAlign w:val="center"/>
          </w:tcPr>
          <w:p w14:paraId="5FDA9E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手术转运交接闭环管理</w:t>
            </w:r>
          </w:p>
        </w:tc>
        <w:tc>
          <w:tcPr>
            <w:tcW w:w="4381" w:type="dxa"/>
            <w:shd w:val="clear" w:color="auto" w:fill="auto"/>
            <w:vAlign w:val="center"/>
          </w:tcPr>
          <w:p w14:paraId="3D9419A0">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从患者离开原科室（如病房、急诊科）开始，经转运至手术室、术后再转运回目标科室（如病房、ICU、PACU 等）的全流程中，整合患者信息、流程节点、责任主体、物品记录等要素，实现全程（术前转运、术中衔接、术后转运）可追溯的记录，确保患者安全、信息准确传递。</w:t>
            </w:r>
          </w:p>
        </w:tc>
      </w:tr>
      <w:tr w14:paraId="745C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567" w:type="dxa"/>
            <w:noWrap/>
            <w:vAlign w:val="center"/>
          </w:tcPr>
          <w:p w14:paraId="55F07505">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BF14C76">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40C747A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3C94B9E5">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移动端器械包管理</w:t>
            </w:r>
          </w:p>
        </w:tc>
        <w:tc>
          <w:tcPr>
            <w:tcW w:w="4381" w:type="dxa"/>
            <w:vAlign w:val="center"/>
          </w:tcPr>
          <w:p w14:paraId="1013FB21">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移动端对接供应室系统，获取器械包基础信息。</w:t>
            </w:r>
          </w:p>
          <w:p w14:paraId="103A10E6">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支持移动端在术前、术中通过扫码添加器械包。</w:t>
            </w:r>
          </w:p>
          <w:p w14:paraId="733DB321">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支持在移动端进行器械包使用记录，并与患者绑定和解绑。</w:t>
            </w:r>
          </w:p>
          <w:p w14:paraId="5DE63A7C">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rPr>
              <w:t>支持移动端术中套用器械包模板。</w:t>
            </w:r>
          </w:p>
        </w:tc>
      </w:tr>
      <w:tr w14:paraId="0CA9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vMerge w:val="restart"/>
            <w:noWrap/>
            <w:vAlign w:val="center"/>
          </w:tcPr>
          <w:p w14:paraId="4438EB53">
            <w:pPr>
              <w:pStyle w:val="2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03E33950">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0C1C97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2C8D4047">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移动端护理访视功能</w:t>
            </w:r>
          </w:p>
        </w:tc>
        <w:tc>
          <w:tcPr>
            <w:tcW w:w="4381" w:type="dxa"/>
            <w:vAlign w:val="center"/>
          </w:tcPr>
          <w:p w14:paraId="183C5A2E">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支持在移动端进行护理术前访视和术后随访记录。</w:t>
            </w:r>
          </w:p>
          <w:p w14:paraId="15E58AA1">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支持在移动端直接完成相应的术前访视文书和术后访视文书，数据同PC端同步。</w:t>
            </w:r>
          </w:p>
        </w:tc>
      </w:tr>
      <w:tr w14:paraId="39B4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 w:type="dxa"/>
            <w:vMerge w:val="continue"/>
            <w:noWrap/>
            <w:vAlign w:val="center"/>
          </w:tcPr>
          <w:p w14:paraId="11C883F6">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p>
        </w:tc>
        <w:tc>
          <w:tcPr>
            <w:tcW w:w="838" w:type="dxa"/>
            <w:vMerge w:val="continue"/>
            <w:vAlign w:val="center"/>
          </w:tcPr>
          <w:p w14:paraId="19A06668">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sz w:val="24"/>
                <w:szCs w:val="24"/>
              </w:rPr>
            </w:pPr>
          </w:p>
        </w:tc>
        <w:tc>
          <w:tcPr>
            <w:tcW w:w="958" w:type="dxa"/>
            <w:vMerge w:val="continue"/>
            <w:vAlign w:val="center"/>
          </w:tcPr>
          <w:p w14:paraId="0571EAE9">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p>
        </w:tc>
        <w:tc>
          <w:tcPr>
            <w:tcW w:w="1434" w:type="dxa"/>
            <w:vAlign w:val="center"/>
          </w:tcPr>
          <w:p w14:paraId="6054304E">
            <w:pPr>
              <w:keepNext w:val="0"/>
              <w:keepLines w:val="0"/>
              <w:pageBreakBefore w:val="0"/>
              <w:widowControl w:val="0"/>
              <w:kinsoku/>
              <w:wordWrap/>
              <w:overflowPunct/>
              <w:topLinePunct w:val="0"/>
              <w:autoSpaceDE/>
              <w:autoSpaceDN/>
              <w:bidi w:val="0"/>
              <w:adjustRightInd/>
              <w:snapToGrid/>
              <w:spacing w:line="360" w:lineRule="auto"/>
              <w:ind w:left="0" w:firstLine="0"/>
              <w:jc w:val="left"/>
              <w:textAlignment w:val="auto"/>
              <w:rPr>
                <w:rFonts w:hint="eastAsia" w:ascii="Times New Roman" w:hAnsi="Times New Roman" w:eastAsia="宋体" w:cs="Times New Roman"/>
                <w:b w:val="0"/>
                <w:bCs w:val="0"/>
                <w:color w:val="auto"/>
                <w:kern w:val="0"/>
                <w:sz w:val="24"/>
                <w:szCs w:val="24"/>
                <w:lang w:bidi="ar"/>
              </w:rPr>
            </w:pPr>
            <w:r>
              <w:rPr>
                <w:rFonts w:hint="eastAsia" w:ascii="Times New Roman" w:hAnsi="Times New Roman" w:eastAsia="宋体" w:cs="Times New Roman"/>
                <w:b w:val="0"/>
                <w:bCs w:val="0"/>
                <w:color w:val="auto"/>
                <w:kern w:val="0"/>
                <w:sz w:val="24"/>
                <w:szCs w:val="24"/>
                <w:lang w:bidi="ar"/>
              </w:rPr>
              <w:t>移动端离线功能</w:t>
            </w:r>
          </w:p>
        </w:tc>
        <w:tc>
          <w:tcPr>
            <w:tcW w:w="4381" w:type="dxa"/>
            <w:vAlign w:val="center"/>
          </w:tcPr>
          <w:p w14:paraId="346535D0">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rPr>
              <w:t>支持在无网络环境下通过移动终端查阅患者相关手术信息。</w:t>
            </w:r>
          </w:p>
          <w:p w14:paraId="383AA16F">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支持在无网络环境下打开下载的患者护理记录，录入需要录入的护理文书内容并在本地离线存储。</w:t>
            </w:r>
          </w:p>
          <w:p w14:paraId="645BA5CA">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rPr>
              <w:t>支持无线网络下一键上传</w:t>
            </w:r>
            <w:r>
              <w:rPr>
                <w:rFonts w:hint="eastAsia" w:ascii="Times New Roman" w:hAnsi="Times New Roman" w:eastAsia="宋体" w:cs="Times New Roman"/>
                <w:b w:val="0"/>
                <w:bCs w:val="0"/>
                <w:color w:val="auto"/>
                <w:sz w:val="24"/>
                <w:szCs w:val="24"/>
                <w:lang w:val="en-US" w:eastAsia="zh-CN"/>
              </w:rPr>
              <w:t>数据</w:t>
            </w:r>
            <w:r>
              <w:rPr>
                <w:rFonts w:hint="eastAsia" w:ascii="Times New Roman" w:hAnsi="Times New Roman" w:eastAsia="宋体" w:cs="Times New Roman"/>
                <w:b w:val="0"/>
                <w:bCs w:val="0"/>
                <w:color w:val="auto"/>
                <w:sz w:val="24"/>
                <w:szCs w:val="24"/>
              </w:rPr>
              <w:t>至主服务器，便于通过系统终端浏览手术护理信息。</w:t>
            </w:r>
          </w:p>
          <w:p w14:paraId="01C62727">
            <w:pPr>
              <w:pStyle w:val="22"/>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rPr>
              <w:t>能够在联网并保证移动终端电源充足的情况下，自动将移动终端离线存储的护理文书上传至主服务器。</w:t>
            </w:r>
          </w:p>
        </w:tc>
      </w:tr>
    </w:tbl>
    <w:p w14:paraId="36FEB826">
      <w:pPr>
        <w:rPr>
          <w:rFonts w:hint="default"/>
          <w:lang w:val="en-US" w:eastAsia="zh-CN"/>
        </w:rPr>
      </w:pPr>
    </w:p>
    <w:p w14:paraId="3C53F2C1">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4技术要求</w:t>
      </w:r>
    </w:p>
    <w:p w14:paraId="7A3C8E7B">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1、投标人应具备较好的医疗信息化创新能力、开发能力和实施交付能力，并具备医疗信息化领域的质量管理、信息技术服务管理、信息安全管理等的全流程管理体系。</w:t>
      </w:r>
    </w:p>
    <w:p w14:paraId="4219FEBF">
      <w:pPr>
        <w:spacing w:before="156" w:beforeLines="50" w:after="156" w:afterLines="50" w:line="360" w:lineRule="auto"/>
        <w:ind w:firstLine="480" w:firstLineChars="200"/>
        <w:rPr>
          <w:rFonts w:hint="eastAsia" w:ascii="宋体" w:hAnsi="宋体" w:eastAsia="宋体" w:cs="Times New Roman (正文 CS 字体)"/>
          <w:sz w:val="24"/>
        </w:rPr>
      </w:pPr>
      <w:r>
        <w:rPr>
          <w:rFonts w:ascii="宋体" w:hAnsi="宋体" w:eastAsia="宋体" w:cs="Times New Roman (正文 CS 字体)"/>
          <w:sz w:val="24"/>
        </w:rPr>
        <w:t>2</w:t>
      </w:r>
      <w:r>
        <w:rPr>
          <w:rFonts w:hint="eastAsia" w:ascii="宋体" w:hAnsi="宋体" w:eastAsia="宋体" w:cs="Times New Roman (正文 CS 字体)"/>
          <w:sz w:val="24"/>
        </w:rPr>
        <w:t>、投标人应充分理解本次项目的建设内容和目标需求，提出符合医院实际应用需求的具有针对性的整体解决方案，并能对项目过程中的重难点做出分析，提出相应的技术应对方案并阐述自身优势。</w:t>
      </w:r>
    </w:p>
    <w:p w14:paraId="6FA62123">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lang w:val="en-US" w:eastAsia="zh-CN"/>
        </w:rPr>
        <w:t>3</w:t>
      </w:r>
      <w:r>
        <w:rPr>
          <w:rFonts w:hint="eastAsia" w:ascii="宋体" w:hAnsi="宋体" w:eastAsia="宋体" w:cs="Times New Roman (正文 CS 字体)"/>
          <w:sz w:val="24"/>
        </w:rPr>
        <w:t>、本次项目投标人还应充分考虑</w:t>
      </w:r>
      <w:r>
        <w:rPr>
          <w:rFonts w:hint="eastAsia" w:ascii="宋体" w:hAnsi="宋体" w:eastAsia="宋体" w:cs="Times New Roman (正文 CS 字体)"/>
          <w:sz w:val="24"/>
          <w:lang w:val="en-US" w:eastAsia="zh-CN"/>
        </w:rPr>
        <w:t>采购人</w:t>
      </w:r>
      <w:r>
        <w:rPr>
          <w:rFonts w:hint="eastAsia" w:ascii="宋体" w:hAnsi="宋体" w:eastAsia="宋体" w:cs="Times New Roman (正文 CS 字体)"/>
          <w:sz w:val="24"/>
        </w:rPr>
        <w:t>现有系统的数据继承问题，确保现有系统数据可以继续使用。</w:t>
      </w:r>
    </w:p>
    <w:p w14:paraId="4D2BA7F8">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lang w:val="en-US" w:eastAsia="zh-CN"/>
        </w:rPr>
        <w:t>4</w:t>
      </w:r>
      <w:r>
        <w:rPr>
          <w:rFonts w:hint="eastAsia" w:ascii="宋体" w:hAnsi="宋体" w:eastAsia="宋体" w:cs="Times New Roman (正文 CS 字体)"/>
          <w:sz w:val="24"/>
        </w:rPr>
        <w:t>、本次项目涉及的系统产生或利用的数据涉及到大量患者隐私，投标人应做好相应的信息安全保障设计。</w:t>
      </w:r>
    </w:p>
    <w:p w14:paraId="057C77D2">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lang w:val="en-US" w:eastAsia="zh-CN"/>
        </w:rPr>
        <w:t>5</w:t>
      </w:r>
      <w:r>
        <w:rPr>
          <w:rFonts w:hint="eastAsia" w:ascii="宋体" w:hAnsi="宋体" w:eastAsia="宋体" w:cs="Times New Roman (正文 CS 字体)"/>
          <w:sz w:val="24"/>
        </w:rPr>
        <w:t>、投标人应具备高性能医疗卫生软件的开发能力，投标产品应充分考虑到医院大业务量环境下的运行效率。</w:t>
      </w:r>
    </w:p>
    <w:p w14:paraId="0637C1D3">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lang w:val="en-US" w:eastAsia="zh-CN"/>
        </w:rPr>
        <w:t>6</w:t>
      </w:r>
      <w:r>
        <w:rPr>
          <w:rFonts w:hint="eastAsia" w:ascii="宋体" w:hAnsi="宋体" w:eastAsia="宋体" w:cs="Times New Roman (正文 CS 字体)"/>
          <w:sz w:val="24"/>
        </w:rPr>
        <w:t>、项目实施期间，如因政策变化或医院管理流程变更的原因，需要对系统进行相应的客户化修改，投标人须无条件满足。</w:t>
      </w:r>
    </w:p>
    <w:p w14:paraId="33B23BF3">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lang w:val="en-US" w:eastAsia="zh-CN"/>
        </w:rPr>
        <w:t>7</w:t>
      </w:r>
      <w:r>
        <w:rPr>
          <w:rFonts w:hint="eastAsia" w:ascii="宋体" w:hAnsi="宋体" w:eastAsia="宋体" w:cs="Times New Roman (正文 CS 字体)"/>
          <w:sz w:val="24"/>
        </w:rPr>
        <w:t>、为确保项目交付后系统的稳定可靠运行，投标人中标交付后</w:t>
      </w:r>
      <w:r>
        <w:rPr>
          <w:rFonts w:hint="eastAsia" w:ascii="宋体" w:hAnsi="宋体" w:eastAsia="宋体" w:cs="Times New Roman (正文 CS 字体)"/>
          <w:sz w:val="24"/>
          <w:lang w:val="en-US" w:eastAsia="zh-CN"/>
        </w:rPr>
        <w:t>需</w:t>
      </w:r>
      <w:r>
        <w:rPr>
          <w:rFonts w:hint="eastAsia" w:ascii="宋体" w:hAnsi="宋体" w:eastAsia="宋体" w:cs="Times New Roman (正文 CS 字体)"/>
          <w:sz w:val="24"/>
        </w:rPr>
        <w:t>要提供专业的售后服务，投标人应具备较好的医院软件运维信息化管理能力和服务体系。</w:t>
      </w:r>
    </w:p>
    <w:p w14:paraId="459A55F3">
      <w:pPr>
        <w:spacing w:before="156" w:beforeLines="50" w:after="156" w:afterLines="50" w:line="360" w:lineRule="auto"/>
        <w:ind w:firstLine="480" w:firstLineChars="200"/>
        <w:rPr>
          <w:rFonts w:hint="eastAsia" w:ascii="宋体" w:hAnsi="宋体" w:eastAsia="宋体" w:cs="Times New Roman (正文 CS 字体)"/>
          <w:sz w:val="24"/>
          <w:lang w:val="en-US" w:eastAsia="zh-CN"/>
        </w:rPr>
      </w:pPr>
      <w:r>
        <w:rPr>
          <w:rFonts w:hint="eastAsia" w:ascii="宋体" w:hAnsi="宋体" w:eastAsia="宋体" w:cs="Times New Roman (正文 CS 字体)"/>
          <w:sz w:val="24"/>
          <w:lang w:val="en-US" w:eastAsia="zh-CN"/>
        </w:rPr>
        <w:t>8</w:t>
      </w:r>
      <w:r>
        <w:rPr>
          <w:rFonts w:hint="eastAsia" w:ascii="宋体" w:hAnsi="宋体" w:eastAsia="宋体" w:cs="Times New Roman (正文 CS 字体)"/>
          <w:sz w:val="24"/>
        </w:rPr>
        <w:t>、投标人在项目实施及服务过程中，应遵循知识产权管理体系做好文档管理工作，在项目验收时进行相关文档的移交，文档资料必须符合软件工程的相关</w:t>
      </w:r>
      <w:r>
        <w:rPr>
          <w:rFonts w:hint="eastAsia" w:ascii="宋体" w:hAnsi="宋体" w:eastAsia="宋体" w:cs="Times New Roman (正文 CS 字体)"/>
          <w:sz w:val="24"/>
          <w:lang w:val="en-US" w:eastAsia="zh-CN"/>
        </w:rPr>
        <w:t>要求，并提供明确的交付清单。</w:t>
      </w:r>
    </w:p>
    <w:p w14:paraId="149AC326">
      <w:pPr>
        <w:spacing w:before="156" w:beforeLines="50" w:after="156" w:afterLines="50" w:line="360" w:lineRule="auto"/>
        <w:ind w:firstLine="480" w:firstLineChars="200"/>
        <w:rPr>
          <w:rFonts w:hint="eastAsia" w:ascii="宋体" w:hAnsi="宋体" w:eastAsia="宋体" w:cs="Times New Roman (正文 CS 字体)"/>
          <w:sz w:val="24"/>
          <w:lang w:val="en-US" w:eastAsia="zh-CN"/>
        </w:rPr>
      </w:pPr>
      <w:r>
        <w:rPr>
          <w:rFonts w:hint="eastAsia" w:ascii="宋体" w:hAnsi="宋体" w:eastAsia="宋体" w:cs="Times New Roman (正文 CS 字体)"/>
          <w:sz w:val="24"/>
          <w:lang w:val="en-US" w:eastAsia="zh-CN"/>
        </w:rPr>
        <w:t>9、本次项目应遵循《中华人民共和国数据安全法》、《中华人民共和国网络安全法》、《中国人民共和国个人信息保护法》等标准规范文件要求进行建设，如以上法律法规、标准规范有发布新版本，依据最新版本执行。</w:t>
      </w:r>
    </w:p>
    <w:p w14:paraId="035C604F">
      <w:pPr>
        <w:spacing w:before="156" w:beforeLines="50" w:after="156" w:afterLines="50" w:line="360" w:lineRule="auto"/>
        <w:ind w:firstLine="480" w:firstLineChars="200"/>
        <w:rPr>
          <w:rFonts w:hint="eastAsia" w:ascii="宋体" w:hAnsi="宋体" w:eastAsia="宋体" w:cs="Times New Roman (正文 CS 字体)"/>
          <w:sz w:val="24"/>
          <w:lang w:val="en-US" w:eastAsia="zh-CN"/>
        </w:rPr>
      </w:pPr>
      <w:r>
        <w:rPr>
          <w:rFonts w:hint="default" w:ascii="宋体" w:hAnsi="宋体" w:eastAsia="宋体" w:cs="Times New Roman (正文 CS 字体)"/>
          <w:sz w:val="24"/>
          <w:lang w:val="en-US" w:eastAsia="zh-CN"/>
        </w:rPr>
        <w:t>10</w:t>
      </w:r>
      <w:r>
        <w:rPr>
          <w:rFonts w:hint="eastAsia" w:ascii="宋体" w:hAnsi="宋体" w:eastAsia="宋体" w:cs="Times New Roman (正文 CS 字体)"/>
          <w:sz w:val="24"/>
          <w:lang w:val="en-US" w:eastAsia="zh-CN"/>
        </w:rPr>
        <w:t>、投标人应充分调研招标人现有业务系统的运行情况，评估与招标人现有业务系统数据对接方式及工作量，项目实施过程中产生的第三方接口费用由中标人承担。</w:t>
      </w:r>
    </w:p>
    <w:p w14:paraId="66134644">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5建设依据</w:t>
      </w:r>
    </w:p>
    <w:p w14:paraId="58CCBC86">
      <w:pPr>
        <w:numPr>
          <w:ilvl w:val="0"/>
          <w:numId w:val="7"/>
        </w:numPr>
        <w:spacing w:before="156" w:beforeLines="50" w:after="156" w:afterLines="50" w:line="360" w:lineRule="auto"/>
        <w:rPr>
          <w:rFonts w:hint="eastAsia" w:ascii="宋体" w:hAnsi="宋体" w:eastAsia="宋体" w:cs="Times New Roman (正文 CS 字体)"/>
          <w:sz w:val="24"/>
        </w:rPr>
      </w:pPr>
      <w:r>
        <w:rPr>
          <w:rFonts w:ascii="宋体" w:hAnsi="宋体" w:eastAsia="宋体" w:cs="Times New Roman (正文 CS 字体)"/>
          <w:sz w:val="24"/>
        </w:rPr>
        <w:t>政策法规</w:t>
      </w:r>
    </w:p>
    <w:p w14:paraId="1E90085F">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《国务院办公厅关于推动公立医院高质量发展的意见》；</w:t>
      </w:r>
    </w:p>
    <w:p w14:paraId="5442B5A1">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《“十四五”优质高效医疗卫生服务体系建设实施方案》；</w:t>
      </w:r>
    </w:p>
    <w:p w14:paraId="4F599D2A">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《全国护理事业发展规划(2021-2025) 》；</w:t>
      </w:r>
    </w:p>
    <w:p w14:paraId="3A451206">
      <w:pPr>
        <w:spacing w:before="156" w:beforeLines="50" w:after="156" w:afterLines="50" w:line="360" w:lineRule="auto"/>
        <w:rPr>
          <w:rFonts w:hint="eastAsia" w:ascii="宋体" w:hAnsi="宋体" w:eastAsia="宋体" w:cs="Times New Roman (正文 CS 字体)"/>
          <w:color w:val="auto"/>
          <w:sz w:val="24"/>
          <w:shd w:val="clear" w:color="auto" w:fill="auto"/>
        </w:rPr>
      </w:pPr>
      <w:r>
        <w:rPr>
          <w:rFonts w:ascii="宋体" w:hAnsi="宋体" w:eastAsia="宋体" w:cs="Times New Roman (正文 CS 字体)"/>
          <w:color w:val="auto"/>
          <w:sz w:val="24"/>
          <w:shd w:val="clear" w:color="auto" w:fill="auto"/>
        </w:rPr>
        <w:t>2</w:t>
      </w:r>
      <w:r>
        <w:rPr>
          <w:rFonts w:hint="eastAsia" w:ascii="宋体" w:hAnsi="宋体" w:eastAsia="宋体" w:cs="Times New Roman (正文 CS 字体)"/>
          <w:color w:val="auto"/>
          <w:sz w:val="24"/>
          <w:shd w:val="clear" w:color="auto" w:fill="auto"/>
        </w:rPr>
        <w:t>、</w:t>
      </w:r>
      <w:r>
        <w:rPr>
          <w:rFonts w:ascii="宋体" w:hAnsi="宋体" w:eastAsia="宋体" w:cs="Times New Roman (正文 CS 字体)"/>
          <w:color w:val="auto"/>
          <w:sz w:val="24"/>
          <w:shd w:val="clear" w:color="auto" w:fill="auto"/>
        </w:rPr>
        <w:t>标准规范</w:t>
      </w:r>
    </w:p>
    <w:p w14:paraId="368FFD27">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《全国医院信息化建设标准与规范（2018）》；</w:t>
      </w:r>
    </w:p>
    <w:p w14:paraId="1D9EFE79">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《医院信息平台应用功能指引》；</w:t>
      </w:r>
    </w:p>
    <w:p w14:paraId="2F4177E0">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《电子病历系统功能应用水平分级评价及标准》；</w:t>
      </w:r>
    </w:p>
    <w:p w14:paraId="5ED26EA4">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《医院信息互联互通标准化成熟度测评方案</w:t>
      </w:r>
      <w:r>
        <w:rPr>
          <w:rFonts w:ascii="宋体" w:hAnsi="宋体" w:eastAsia="宋体" w:cs="Times New Roman (正文 CS 字体)"/>
          <w:color w:val="auto"/>
          <w:sz w:val="24"/>
          <w:shd w:val="clear" w:color="auto" w:fill="auto"/>
        </w:rPr>
        <w:t>》</w:t>
      </w:r>
      <w:r>
        <w:rPr>
          <w:rFonts w:hint="eastAsia" w:ascii="宋体" w:hAnsi="宋体" w:eastAsia="宋体" w:cs="Times New Roman (正文 CS 字体)"/>
          <w:color w:val="auto"/>
          <w:sz w:val="24"/>
          <w:shd w:val="clear" w:color="auto" w:fill="auto"/>
        </w:rPr>
        <w:t>；</w:t>
      </w:r>
      <w:r>
        <w:rPr>
          <w:rFonts w:ascii="宋体" w:hAnsi="宋体" w:eastAsia="宋体" w:cs="Times New Roman (正文 CS 字体)"/>
          <w:color w:val="auto"/>
          <w:sz w:val="24"/>
          <w:shd w:val="clear" w:color="auto" w:fill="auto"/>
        </w:rPr>
        <w:t xml:space="preserve"> </w:t>
      </w:r>
    </w:p>
    <w:p w14:paraId="15A56E35">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《医院智慧服务分级评估标准体系（试行）》；</w:t>
      </w:r>
    </w:p>
    <w:p w14:paraId="205F101A">
      <w:pPr>
        <w:spacing w:before="156" w:beforeLines="50" w:after="156" w:afterLines="50" w:line="360" w:lineRule="auto"/>
        <w:ind w:firstLine="480" w:firstLineChars="200"/>
        <w:rPr>
          <w:rFonts w:hint="eastAsia" w:ascii="宋体" w:hAnsi="宋体" w:eastAsia="宋体" w:cs="Times New Roman (正文 CS 字体)"/>
          <w:color w:val="auto"/>
          <w:sz w:val="24"/>
          <w:shd w:val="clear" w:color="auto" w:fill="auto"/>
        </w:rPr>
      </w:pPr>
      <w:r>
        <w:rPr>
          <w:rFonts w:hint="eastAsia" w:ascii="宋体" w:hAnsi="宋体" w:eastAsia="宋体" w:cs="Times New Roman (正文 CS 字体)"/>
          <w:color w:val="auto"/>
          <w:sz w:val="24"/>
          <w:shd w:val="clear" w:color="auto" w:fill="auto"/>
        </w:rPr>
        <w:t>《医院智慧管理分级评估标准体系（试行）》；</w:t>
      </w:r>
    </w:p>
    <w:p w14:paraId="243C598C">
      <w:pPr>
        <w:spacing w:before="156" w:beforeLines="50" w:after="156" w:afterLines="50" w:line="360" w:lineRule="auto"/>
        <w:ind w:firstLine="480" w:firstLineChars="200"/>
        <w:rPr>
          <w:rFonts w:hint="default" w:ascii="宋体" w:hAnsi="宋体" w:eastAsia="宋体" w:cs="Times New Roman (正文 CS 字体)"/>
          <w:color w:val="auto"/>
          <w:sz w:val="24"/>
          <w:shd w:val="clear" w:color="auto" w:fill="auto"/>
          <w:lang w:val="en-US" w:eastAsia="zh-CN"/>
        </w:rPr>
      </w:pPr>
      <w:r>
        <w:rPr>
          <w:rFonts w:hint="eastAsia" w:ascii="宋体" w:hAnsi="宋体" w:eastAsia="宋体" w:cs="Times New Roman (正文 CS 字体)"/>
          <w:color w:val="auto"/>
          <w:sz w:val="24"/>
          <w:shd w:val="clear" w:color="auto" w:fill="auto"/>
          <w:lang w:val="en-US" w:eastAsia="zh-CN"/>
        </w:rPr>
        <w:t>如以上政策法规、标准规范跟新，按照最新版本执行。</w:t>
      </w:r>
    </w:p>
    <w:p w14:paraId="59454E9C">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6服务及其他要求</w:t>
      </w:r>
    </w:p>
    <w:p w14:paraId="1BBC0672">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6.1项目实施</w:t>
      </w:r>
    </w:p>
    <w:p w14:paraId="67FE3FEF">
      <w:pPr>
        <w:keepNext w:val="0"/>
        <w:keepLines w:val="0"/>
        <w:pageBreakBefore w:val="0"/>
        <w:kinsoku/>
        <w:wordWrap/>
        <w:overflowPunct/>
        <w:topLinePunct w:val="0"/>
        <w:autoSpaceDE/>
        <w:autoSpaceDN/>
        <w:bidi w:val="0"/>
        <w:spacing w:line="360" w:lineRule="auto"/>
        <w:ind w:right="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color w:val="FF0000"/>
          <w:sz w:val="24"/>
          <w:szCs w:val="24"/>
        </w:rPr>
        <w:t>本项目工期</w:t>
      </w:r>
      <w:r>
        <w:rPr>
          <w:rFonts w:hint="eastAsia" w:ascii="Times New Roman" w:hAnsi="Times New Roman" w:eastAsia="宋体" w:cs="Times New Roman"/>
          <w:color w:val="FF0000"/>
          <w:sz w:val="24"/>
          <w:szCs w:val="24"/>
          <w:lang w:val="en-US" w:eastAsia="zh-CN"/>
        </w:rPr>
        <w:t>为180</w:t>
      </w:r>
      <w:r>
        <w:rPr>
          <w:rFonts w:ascii="Times New Roman" w:hAnsi="Times New Roman" w:eastAsia="宋体" w:cs="Times New Roman"/>
          <w:color w:val="FF0000"/>
          <w:sz w:val="24"/>
          <w:szCs w:val="24"/>
        </w:rPr>
        <w:t>个</w:t>
      </w:r>
      <w:r>
        <w:rPr>
          <w:rFonts w:hint="eastAsia" w:ascii="Times New Roman" w:hAnsi="Times New Roman" w:eastAsia="宋体" w:cs="Times New Roman"/>
          <w:color w:val="FF0000"/>
          <w:sz w:val="24"/>
          <w:szCs w:val="24"/>
        </w:rPr>
        <w:t>日历天</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auto"/>
          <w:sz w:val="24"/>
          <w:szCs w:val="24"/>
          <w:lang w:val="en-US" w:eastAsia="zh-CN"/>
        </w:rPr>
        <w:t>即投标人须在合同签订后180个日历天内，完成软硬件的供货、安装、调试等工作，确保交付物上线稳定试运行。</w:t>
      </w:r>
      <w:r>
        <w:rPr>
          <w:rFonts w:ascii="Times New Roman" w:hAnsi="Times New Roman" w:eastAsia="宋体" w:cs="Times New Roman"/>
          <w:color w:val="auto"/>
          <w:sz w:val="24"/>
          <w:szCs w:val="24"/>
        </w:rPr>
        <w:t>投标人应切实做好项目进度管理规划，在确保项目质量和安全的原则下，控制项</w:t>
      </w:r>
      <w:r>
        <w:rPr>
          <w:rFonts w:ascii="Times New Roman" w:hAnsi="Times New Roman" w:eastAsia="宋体" w:cs="Times New Roman"/>
          <w:sz w:val="24"/>
          <w:szCs w:val="24"/>
        </w:rPr>
        <w:t>目进度，确保项目建设按期完成并投入正常运行。</w:t>
      </w:r>
    </w:p>
    <w:p w14:paraId="10ED352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宋体" w:hAnsi="宋体" w:eastAsia="宋体"/>
          <w:sz w:val="24"/>
        </w:rPr>
      </w:pPr>
      <w:r>
        <w:rPr>
          <w:rFonts w:hint="eastAsia" w:ascii="Times New Roman" w:hAnsi="Times New Roman" w:eastAsia="宋体" w:cs="Times New Roman"/>
          <w:sz w:val="24"/>
          <w:szCs w:val="24"/>
          <w:highlight w:val="none"/>
        </w:rPr>
        <w:t>项目实施期间，投标人应根据项目建设内容和进度需要，</w:t>
      </w:r>
      <w:r>
        <w:rPr>
          <w:rFonts w:hint="eastAsia" w:ascii="Times New Roman" w:hAnsi="Times New Roman" w:eastAsia="宋体" w:cs="Times New Roman"/>
          <w:sz w:val="24"/>
          <w:szCs w:val="24"/>
          <w:highlight w:val="none"/>
          <w:lang w:val="en-US" w:eastAsia="zh-CN"/>
        </w:rPr>
        <w:t>安排</w:t>
      </w:r>
      <w:r>
        <w:rPr>
          <w:rFonts w:hint="eastAsia" w:ascii="Times New Roman" w:hAnsi="Times New Roman" w:eastAsia="宋体" w:cs="Times New Roman"/>
          <w:sz w:val="24"/>
          <w:szCs w:val="24"/>
          <w:highlight w:val="none"/>
        </w:rPr>
        <w:t>具有一定资质能力水平的成员组成项目团队对</w:t>
      </w:r>
      <w:r>
        <w:rPr>
          <w:rFonts w:hint="eastAsia" w:ascii="Times New Roman" w:hAnsi="Times New Roman" w:eastAsia="宋体" w:cs="Times New Roman"/>
          <w:sz w:val="24"/>
          <w:szCs w:val="24"/>
          <w:highlight w:val="none"/>
          <w:lang w:val="en-US" w:eastAsia="zh-CN"/>
        </w:rPr>
        <w:t>项目</w:t>
      </w:r>
      <w:r>
        <w:rPr>
          <w:rFonts w:hint="eastAsia" w:ascii="Times New Roman" w:hAnsi="Times New Roman" w:eastAsia="宋体" w:cs="Times New Roman"/>
          <w:sz w:val="24"/>
          <w:szCs w:val="24"/>
          <w:highlight w:val="none"/>
        </w:rPr>
        <w:t>进行实施及服务。项目团队应配置合理且具有较为合理明确的分工，</w:t>
      </w:r>
      <w:r>
        <w:rPr>
          <w:rFonts w:hint="eastAsia" w:ascii="宋体" w:hAnsi="宋体" w:eastAsia="宋体"/>
          <w:sz w:val="24"/>
        </w:rPr>
        <w:t>应至少包含项目负责人、技术负责人、系统需求分析人员、软件测试人员等。</w:t>
      </w:r>
    </w:p>
    <w:p w14:paraId="3B5C5D54">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宋体" w:hAnsi="宋体" w:eastAsia="宋体"/>
          <w:sz w:val="24"/>
        </w:rPr>
      </w:pPr>
      <w:r>
        <w:rPr>
          <w:rFonts w:hint="eastAsia" w:ascii="Times New Roman" w:hAnsi="Times New Roman" w:eastAsia="宋体" w:cs="Times New Roman"/>
          <w:b w:val="0"/>
          <w:bCs w:val="0"/>
          <w:color w:val="000000"/>
          <w:sz w:val="24"/>
          <w:szCs w:val="24"/>
        </w:rPr>
        <w:t>在合同履行期间，</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对其派出人员的安全负全部责任。如</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人员在合同履行中发生事故的，</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应负责处理并承担责任。在合同履行期间，</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应始终具有合格的用工主体资格，应与派出的项目人员建立合法的劳动关系并履行相关职责。</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与</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及</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服务人员不构成劳务派遣关系。</w:t>
      </w:r>
    </w:p>
    <w:p w14:paraId="28B687A0">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6.2项目培训</w:t>
      </w:r>
    </w:p>
    <w:p w14:paraId="15A40EA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面向系统管理员、系统操作人员等不同群体</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投标人</w:t>
      </w:r>
      <w:r>
        <w:rPr>
          <w:rFonts w:hint="eastAsia" w:ascii="Times New Roman" w:hAnsi="Times New Roman" w:eastAsia="宋体" w:cs="Times New Roman"/>
          <w:sz w:val="24"/>
          <w:szCs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培训方式包含：</w:t>
      </w:r>
      <w:r>
        <w:rPr>
          <w:rFonts w:hint="eastAsia" w:ascii="Times New Roman" w:hAnsi="Times New Roman" w:eastAsia="宋体" w:cs="Times New Roman"/>
          <w:sz w:val="24"/>
          <w:szCs w:val="24"/>
        </w:rPr>
        <w:t>一对一培训、小班培训和集中培训等不同培训方式</w:t>
      </w:r>
      <w:r>
        <w:rPr>
          <w:rFonts w:hint="eastAsia" w:ascii="Times New Roman" w:hAnsi="Times New Roman" w:eastAsia="宋体" w:cs="Times New Roman"/>
          <w:sz w:val="24"/>
          <w:szCs w:val="24"/>
          <w:lang w:eastAsia="zh-CN"/>
        </w:rPr>
        <w:t>。</w:t>
      </w:r>
    </w:p>
    <w:p w14:paraId="299884D7">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right="0"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b w:val="0"/>
          <w:kern w:val="2"/>
          <w:sz w:val="24"/>
          <w:szCs w:val="24"/>
          <w:highlight w:val="none"/>
          <w:lang w:val="en-US" w:eastAsia="zh-CN" w:bidi="ar"/>
        </w:rPr>
        <w:t>投标人确保在系统正式运行前，为用户培训至少3名合格的系统管理员。</w:t>
      </w:r>
    </w:p>
    <w:p w14:paraId="28C840E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培训费用应已经包含在</w:t>
      </w:r>
      <w:r>
        <w:rPr>
          <w:rFonts w:hint="eastAsia" w:ascii="Times New Roman" w:hAnsi="Times New Roman" w:eastAsia="宋体" w:cs="Times New Roman"/>
          <w:sz w:val="24"/>
          <w:szCs w:val="24"/>
          <w:lang w:val="en-US" w:eastAsia="zh-CN"/>
        </w:rPr>
        <w:t>投标金额</w:t>
      </w:r>
      <w:r>
        <w:rPr>
          <w:rFonts w:hint="eastAsia"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采购人</w:t>
      </w:r>
      <w:r>
        <w:rPr>
          <w:rFonts w:hint="eastAsia" w:ascii="Times New Roman" w:hAnsi="Times New Roman" w:eastAsia="宋体" w:cs="Times New Roman"/>
          <w:sz w:val="24"/>
          <w:szCs w:val="24"/>
        </w:rPr>
        <w:t>不再另行付费。</w:t>
      </w:r>
    </w:p>
    <w:p w14:paraId="0497E867">
      <w:pPr>
        <w:pStyle w:val="26"/>
        <w:keepNext w:val="0"/>
        <w:keepLines w:val="0"/>
        <w:pageBreakBefore w:val="0"/>
        <w:kinsoku/>
        <w:wordWrap/>
        <w:overflowPunct/>
        <w:topLinePunct w:val="0"/>
        <w:autoSpaceDE/>
        <w:autoSpaceDN/>
        <w:bidi w:val="0"/>
        <w:adjustRightInd/>
        <w:spacing w:line="360" w:lineRule="auto"/>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6.3设备包装、运输与保险</w:t>
      </w:r>
    </w:p>
    <w:p w14:paraId="788970E1">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投标人保证提供的设备为原厂制造的全新合格产品，无污染、无侵权行为、无任何缺陷隐患，在中国境内可依常规合法、安全使用。该设备采用原厂包装，设备或其包装上必须标识设备的品牌、原厂商及产地，提供设备原厂商提供的设备质量检验合格证书。</w:t>
      </w:r>
    </w:p>
    <w:p w14:paraId="56C166DB">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投标人负责安排设备运输，并支付运费，确保设备按期按质交货。投标人承担因运输、搬运过程中防护措施不当造成的所有损失。</w:t>
      </w:r>
    </w:p>
    <w:p w14:paraId="281847EC">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6.4售后服务</w:t>
      </w:r>
    </w:p>
    <w:p w14:paraId="318B7C72">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color w:val="auto"/>
          <w:sz w:val="24"/>
          <w:szCs w:val="24"/>
          <w:highlight w:val="none"/>
        </w:rPr>
        <w:t>本项目</w:t>
      </w:r>
      <w:r>
        <w:rPr>
          <w:rFonts w:hint="eastAsia" w:ascii="Times New Roman" w:hAnsi="Times New Roman" w:eastAsia="宋体" w:cs="Times New Roman"/>
          <w:b w:val="0"/>
          <w:color w:val="auto"/>
          <w:sz w:val="24"/>
          <w:szCs w:val="24"/>
          <w:highlight w:val="none"/>
          <w:lang w:val="en-US" w:eastAsia="zh-CN"/>
        </w:rPr>
        <w:t>包含硬件三年、软件两年保修服务</w:t>
      </w:r>
      <w:r>
        <w:rPr>
          <w:rFonts w:hint="eastAsia" w:ascii="Times New Roman" w:hAnsi="Times New Roman" w:eastAsia="宋体" w:cs="Times New Roman"/>
          <w:b w:val="0"/>
          <w:sz w:val="24"/>
          <w:szCs w:val="24"/>
          <w:highlight w:val="none"/>
          <w:lang w:val="en-US" w:eastAsia="zh-CN"/>
        </w:rPr>
        <w:t>，保修服务费包含在本项目金额内，保修期从签订项目竣工报告之日起计算。</w:t>
      </w:r>
      <w:r>
        <w:rPr>
          <w:rFonts w:hint="eastAsia" w:ascii="Times New Roman" w:hAnsi="Times New Roman" w:eastAsia="宋体" w:cs="Times New Roman"/>
          <w:b w:val="0"/>
          <w:bCs w:val="0"/>
          <w:iCs w:val="0"/>
          <w:color w:val="000000"/>
          <w:sz w:val="24"/>
          <w:szCs w:val="24"/>
          <w:highlight w:val="none"/>
          <w:lang w:val="en-US" w:eastAsia="zh-CN"/>
        </w:rPr>
        <w:t>保修</w:t>
      </w:r>
      <w:r>
        <w:rPr>
          <w:rFonts w:hint="eastAsia" w:ascii="Times New Roman" w:hAnsi="Times New Roman" w:eastAsia="宋体" w:cs="Times New Roman"/>
          <w:b w:val="0"/>
          <w:bCs w:val="0"/>
          <w:iCs w:val="0"/>
          <w:color w:val="000000"/>
          <w:sz w:val="24"/>
          <w:szCs w:val="24"/>
          <w:highlight w:val="none"/>
        </w:rPr>
        <w:t>期内所发生的一切费用包括系统技术支持</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系统维护或升级</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接口对接</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人员交通</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差旅服务等费用</w:t>
      </w:r>
      <w:r>
        <w:rPr>
          <w:rFonts w:hint="eastAsia" w:ascii="Times New Roman" w:hAnsi="Times New Roman" w:eastAsia="宋体" w:cs="Times New Roman"/>
          <w:b w:val="0"/>
          <w:bCs w:val="0"/>
          <w:iCs w:val="0"/>
          <w:color w:val="000000"/>
          <w:sz w:val="24"/>
          <w:szCs w:val="24"/>
          <w:highlight w:val="none"/>
          <w:lang w:val="en-US" w:eastAsia="zh-CN"/>
        </w:rPr>
        <w:t>均包含在投标金额内，采购人不再另行付费。</w:t>
      </w:r>
    </w:p>
    <w:p w14:paraId="6955AC6D">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color w:val="000000"/>
          <w:sz w:val="24"/>
          <w:szCs w:val="24"/>
          <w:highlight w:val="none"/>
          <w:lang w:val="en-US"/>
        </w:rPr>
      </w:pPr>
      <w:r>
        <w:rPr>
          <w:rFonts w:hint="eastAsia" w:ascii="Times New Roman" w:hAnsi="Times New Roman" w:eastAsia="宋体" w:cs="Times New Roman"/>
          <w:b w:val="0"/>
          <w:sz w:val="24"/>
          <w:szCs w:val="24"/>
          <w:highlight w:val="none"/>
          <w:lang w:val="en-US" w:eastAsia="zh-CN"/>
        </w:rPr>
        <w:t>保修期内，</w:t>
      </w:r>
      <w:r>
        <w:rPr>
          <w:rFonts w:hint="eastAsia" w:ascii="Times New Roman" w:hAnsi="Times New Roman" w:eastAsia="宋体" w:cs="Times New Roman"/>
          <w:b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生故障时，自报障时起算，1小时内</w:t>
      </w:r>
      <w:r>
        <w:rPr>
          <w:rFonts w:hint="eastAsia" w:ascii="Times New Roman" w:hAnsi="Times New Roman" w:eastAsia="宋体" w:cs="Times New Roman"/>
          <w:b w:val="0"/>
          <w:color w:val="000000"/>
          <w:sz w:val="24"/>
          <w:szCs w:val="24"/>
          <w:highlight w:val="none"/>
          <w:lang w:val="en-US" w:eastAsia="zh-CN"/>
        </w:rPr>
        <w:t>予以实质性</w:t>
      </w:r>
      <w:r>
        <w:rPr>
          <w:rFonts w:hint="eastAsia" w:ascii="Times New Roman" w:hAnsi="Times New Roman" w:eastAsia="宋体" w:cs="Times New Roman"/>
          <w:b w:val="0"/>
          <w:color w:val="000000"/>
          <w:sz w:val="24"/>
          <w:szCs w:val="24"/>
          <w:highlight w:val="none"/>
        </w:rPr>
        <w:t>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一般故障应于2小时内解决，严重故障应于12小时内解决。如技术服务人员非现场不能排除故障，除双方另有约定外，必须保证24小时内到达现场进行故障排除。</w:t>
      </w:r>
    </w:p>
    <w:p w14:paraId="335D456A">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1、硬件保修服务</w:t>
      </w:r>
    </w:p>
    <w:p w14:paraId="7745FBEF">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bidi="ar"/>
        </w:rPr>
        <w:t>保修期内，</w:t>
      </w:r>
      <w:r>
        <w:rPr>
          <w:rFonts w:hint="eastAsia" w:ascii="Times New Roman" w:hAnsi="Times New Roman" w:eastAsia="宋体" w:cs="Times New Roman"/>
          <w:sz w:val="24"/>
          <w:lang w:val="en-US" w:eastAsia="zh-CN" w:bidi="ar"/>
        </w:rPr>
        <w:t>投标人</w:t>
      </w:r>
      <w:r>
        <w:rPr>
          <w:rFonts w:hint="eastAsia" w:ascii="Times New Roman" w:hAnsi="Times New Roman" w:eastAsia="宋体" w:cs="Times New Roman"/>
          <w:sz w:val="24"/>
          <w:lang w:bidi="ar"/>
        </w:rPr>
        <w:t>对本项目所有非人为损坏的设备予以免费维修，不能修复的应在收到报障信息后</w:t>
      </w:r>
      <w:r>
        <w:rPr>
          <w:rFonts w:hint="eastAsia" w:ascii="Times New Roman" w:hAnsi="Times New Roman" w:eastAsia="宋体" w:cs="Times New Roman"/>
          <w:sz w:val="24"/>
          <w:lang w:val="en-US" w:eastAsia="zh-CN" w:bidi="ar"/>
        </w:rPr>
        <w:t>5</w:t>
      </w:r>
      <w:r>
        <w:rPr>
          <w:rFonts w:hint="eastAsia" w:ascii="Times New Roman" w:hAnsi="Times New Roman" w:eastAsia="宋体" w:cs="Times New Roman"/>
          <w:sz w:val="24"/>
          <w:lang w:bidi="ar"/>
        </w:rPr>
        <w:t>个日历日内予以免费更换。</w:t>
      </w:r>
    </w:p>
    <w:p w14:paraId="3F01F92D">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2、软件保修服务</w:t>
      </w:r>
    </w:p>
    <w:p w14:paraId="3436180C">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保修期内，投标人提供：</w:t>
      </w:r>
    </w:p>
    <w:p w14:paraId="6412E60B">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系统</w:t>
      </w:r>
      <w:r>
        <w:rPr>
          <w:rFonts w:hint="eastAsia" w:ascii="Times New Roman" w:hAnsi="Times New Roman" w:eastAsia="宋体" w:cs="Times New Roman"/>
          <w:b w:val="0"/>
          <w:sz w:val="24"/>
          <w:szCs w:val="24"/>
          <w:highlight w:val="none"/>
        </w:rPr>
        <w:t>升级服务。</w:t>
      </w:r>
    </w:p>
    <w:p w14:paraId="46D5CD0A">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软件缺陷和漏洞修复</w:t>
      </w:r>
      <w:r>
        <w:rPr>
          <w:rFonts w:hint="eastAsia" w:ascii="Times New Roman" w:hAnsi="Times New Roman" w:eastAsia="宋体" w:cs="Times New Roman"/>
          <w:b w:val="0"/>
          <w:sz w:val="24"/>
          <w:szCs w:val="24"/>
          <w:highlight w:val="none"/>
          <w:lang w:val="en-US" w:eastAsia="zh-CN"/>
        </w:rPr>
        <w:t>服务。</w:t>
      </w:r>
    </w:p>
    <w:p w14:paraId="6D20860F">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用户技术支持和故障排除</w:t>
      </w:r>
      <w:r>
        <w:rPr>
          <w:rFonts w:hint="eastAsia" w:ascii="Times New Roman" w:hAnsi="Times New Roman" w:eastAsia="宋体" w:cs="Times New Roman"/>
          <w:b w:val="0"/>
          <w:sz w:val="24"/>
          <w:szCs w:val="24"/>
          <w:highlight w:val="none"/>
          <w:lang w:val="en-US" w:eastAsia="zh-CN"/>
        </w:rPr>
        <w:t>服务</w:t>
      </w:r>
      <w:r>
        <w:rPr>
          <w:rFonts w:hint="eastAsia" w:ascii="Times New Roman" w:hAnsi="Times New Roman" w:eastAsia="宋体" w:cs="Times New Roman"/>
          <w:b w:val="0"/>
          <w:sz w:val="24"/>
          <w:szCs w:val="24"/>
          <w:highlight w:val="none"/>
        </w:rPr>
        <w:t>。</w:t>
      </w:r>
    </w:p>
    <w:p w14:paraId="65BAABD6">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个性化需求改造，</w:t>
      </w:r>
      <w:r>
        <w:rPr>
          <w:rFonts w:hint="eastAsia" w:ascii="Times New Roman" w:hAnsi="Times New Roman" w:eastAsia="宋体" w:cs="Times New Roman"/>
          <w:b w:val="0"/>
          <w:kern w:val="2"/>
          <w:sz w:val="24"/>
          <w:szCs w:val="24"/>
          <w:highlight w:val="none"/>
          <w:lang w:val="en-US" w:eastAsia="zh-CN" w:bidi="ar"/>
        </w:rPr>
        <w:t>包括但不限于：个性化功能需求、软件接口开发、数据库视图等。</w:t>
      </w:r>
    </w:p>
    <w:p w14:paraId="6F1FBB34">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数据迁移、备份和恢复</w:t>
      </w:r>
      <w:r>
        <w:rPr>
          <w:rFonts w:hint="eastAsia" w:ascii="Times New Roman" w:hAnsi="Times New Roman" w:eastAsia="宋体" w:cs="Times New Roman"/>
          <w:b w:val="0"/>
          <w:sz w:val="24"/>
          <w:szCs w:val="24"/>
          <w:highlight w:val="none"/>
          <w:lang w:val="en-US" w:eastAsia="zh-CN"/>
        </w:rPr>
        <w:t>服务（如采购人需要）</w:t>
      </w:r>
      <w:r>
        <w:rPr>
          <w:rFonts w:hint="eastAsia" w:ascii="Times New Roman" w:hAnsi="Times New Roman" w:eastAsia="宋体" w:cs="Times New Roman"/>
          <w:b w:val="0"/>
          <w:sz w:val="24"/>
          <w:szCs w:val="24"/>
          <w:highlight w:val="none"/>
        </w:rPr>
        <w:t>。</w:t>
      </w:r>
    </w:p>
    <w:p w14:paraId="31D529EB">
      <w:pPr>
        <w:keepNext w:val="0"/>
        <w:keepLines w:val="0"/>
        <w:pageBreakBefore w:val="0"/>
        <w:numPr>
          <w:ilvl w:val="0"/>
          <w:numId w:val="8"/>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每个季度至少提供一次数据库、软件服务巡检</w:t>
      </w:r>
      <w:r>
        <w:rPr>
          <w:rFonts w:hint="eastAsia" w:ascii="Times New Roman" w:hAnsi="Times New Roman" w:eastAsia="宋体" w:cs="Times New Roman"/>
          <w:b w:val="0"/>
          <w:sz w:val="24"/>
          <w:szCs w:val="24"/>
          <w:highlight w:val="none"/>
        </w:rPr>
        <w:t>。</w:t>
      </w:r>
      <w:r>
        <w:rPr>
          <w:rFonts w:hint="eastAsia" w:ascii="Times New Roman" w:hAnsi="Times New Roman" w:eastAsia="宋体" w:cs="Times New Roman"/>
          <w:b w:val="0"/>
          <w:kern w:val="2"/>
          <w:sz w:val="24"/>
          <w:szCs w:val="24"/>
          <w:highlight w:val="none"/>
          <w:vertAlign w:val="baseline"/>
          <w:lang w:val="en-US" w:eastAsia="zh-CN" w:bidi="ar"/>
        </w:rPr>
        <w:t>除定期的巡检之外，根据实际情况提供重大的节假日（包括但不限于五一、十一、春节、元旦等）、会议等事件之前的健康检查工作，包括设备和软件健康状态问题检查等；根据用户巡检要求，提交详尽的巡检报告，并根据检查结果提供建议和维护计划，及时发现并纠正可能出现的问题或隐患。</w:t>
      </w:r>
    </w:p>
    <w:p w14:paraId="26F9EC20">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内，投标人应及时解决因技术升级等原因给系统应用带来的问题，免费提供补丁程序及技术支持服务等，保证采购人系统因上述原因升级后能正常运行。对采购人提出的修改意见，投标人必须在48小时内予以答复并按照采购人确认的时间组织实施。保修期内所有因软件开发服务问题或因设备更换或修理部件、模块而导致系统停止运行的，保修期将按停运天数两倍（按24小时计算，不满24小时按24小时计算）相应延长。</w:t>
      </w:r>
    </w:p>
    <w:p w14:paraId="4830ED1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保修期过后，投标人需提供终身有偿维保服务，该有偿维保服务由双方基于海南省相关政府部门出台的运维标准（不高于原则）另行商定和签定。</w:t>
      </w:r>
    </w:p>
    <w:p w14:paraId="505E87BB">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服务考核：叁年保修期满，采购人考核投标人售后服务，作为投标人履约情况及质保金付款的依据，投标人售后服务不达标，采购人有权拒付或扣减投标人质保金，投标人应予接受。</w:t>
      </w:r>
    </w:p>
    <w:p w14:paraId="0FB4AE5A">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6.5技术支持服务</w:t>
      </w:r>
    </w:p>
    <w:p w14:paraId="52CE9DC7">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（一）本项目实施和保修期间投标人提供免费的技术支持服务，形式上包括电话技术支持服务、远程技术支持服务、现场技术支持支持服务（需要时提供）。</w:t>
      </w:r>
    </w:p>
    <w:p w14:paraId="6B92AC26">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（二）系统部署完成后，对于用户在实际使用</w:t>
      </w:r>
      <w:r>
        <w:rPr>
          <w:rFonts w:hint="eastAsia" w:ascii="Times New Roman" w:hAnsi="Times New Roman" w:eastAsia="宋体" w:cs="Times New Roman"/>
          <w:kern w:val="2"/>
          <w:sz w:val="24"/>
          <w:szCs w:val="24"/>
          <w:highlight w:val="none"/>
          <w:vertAlign w:val="baseline"/>
          <w:lang w:val="en-US" w:eastAsia="zh-CN" w:bidi="ar"/>
        </w:rPr>
        <w:t>中所发生各类问题和疑问，投标人随时帮助用户了解由投标人提供的产品或服务所引发的运行异常情况的原因，并提供及时的技术支持和资料帮助。</w:t>
      </w:r>
    </w:p>
    <w:p w14:paraId="347F206E">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highlight w:val="none"/>
          <w:vertAlign w:val="baseline"/>
          <w:lang w:val="en-US" w:eastAsia="zh-CN" w:bidi="ar"/>
        </w:rPr>
        <w:t>（三）投标人根据使用方的实际技术服务支持需要，制定详细的服务支持计划并在实施前与用户沟通。</w:t>
      </w:r>
    </w:p>
    <w:p w14:paraId="2459D531">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highlight w:val="none"/>
          <w:vertAlign w:val="baseline"/>
          <w:lang w:val="en-US" w:eastAsia="zh-CN" w:bidi="ar"/>
        </w:rPr>
        <w:t>（四）投标人通过线上、远程等方式提供技术支持，及时在群里解答相关人员的问题。</w:t>
      </w:r>
    </w:p>
    <w:p w14:paraId="037E74B3">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五）提供重大变更现场支持服务。在项目保修期内，当用户需要对设备或软件进行相应变更时，投标人派遣工程师提供现场支持，协助用户做好重大变更的技术支持和规划工作，并做好重大变更后的技术支持保障工作。具体问题双方协商解决：如设备搬迁、系统改造与升级、设备扩容、与设备相关的其他重大变更。</w:t>
      </w:r>
    </w:p>
    <w:p w14:paraId="4729202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yellow"/>
          <w:lang w:val="en-US" w:eastAsia="zh-CN" w:bidi="ar"/>
        </w:rPr>
      </w:pPr>
      <w:r>
        <w:rPr>
          <w:rFonts w:hint="eastAsia" w:ascii="Times New Roman" w:hAnsi="Times New Roman" w:eastAsia="宋体" w:cs="Times New Roman"/>
          <w:kern w:val="2"/>
          <w:sz w:val="24"/>
          <w:szCs w:val="24"/>
          <w:vertAlign w:val="baseline"/>
          <w:lang w:val="en-US" w:eastAsia="zh-CN" w:bidi="ar"/>
        </w:rPr>
        <w:t>（六）保修期内，对于所有处于技术服务范围内的系统和设备，投标人根据用户的需要为相关设备、软件和服务建立档案，记录设备详细配置、微码版本和运行信息、故障响应服务、巡检和预防性维护的详细资料，并向用户使用部门和管理部门提交详实的服务报告、系统健康检查报告、技术培训报告等。</w:t>
      </w:r>
    </w:p>
    <w:p w14:paraId="431C8A85">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bookmarkStart w:id="0" w:name="_Toc426564239"/>
      <w:bookmarkStart w:id="1" w:name="_Toc456869935"/>
      <w:bookmarkStart w:id="2" w:name="_Toc420749677"/>
      <w:bookmarkStart w:id="3" w:name="_Toc456724221"/>
      <w:bookmarkStart w:id="4" w:name="_Toc456539372"/>
      <w:bookmarkStart w:id="5" w:name="_Toc456539531"/>
      <w:bookmarkStart w:id="6" w:name="_Toc444790682"/>
      <w:bookmarkStart w:id="7" w:name="_Toc425951545"/>
      <w:r>
        <w:rPr>
          <w:rFonts w:hint="eastAsia" w:ascii="宋体" w:hAnsi="宋体" w:cs="宋体"/>
          <w:b/>
          <w:color w:val="auto"/>
          <w:sz w:val="24"/>
          <w:szCs w:val="24"/>
          <w:lang w:val="en-US" w:eastAsia="zh-CN"/>
        </w:rPr>
        <w:t>6.6故障处理原则</w:t>
      </w:r>
      <w:bookmarkEnd w:id="0"/>
      <w:bookmarkEnd w:id="1"/>
      <w:bookmarkEnd w:id="2"/>
      <w:bookmarkEnd w:id="3"/>
      <w:bookmarkEnd w:id="4"/>
      <w:bookmarkEnd w:id="5"/>
      <w:bookmarkEnd w:id="6"/>
      <w:bookmarkEnd w:id="7"/>
    </w:p>
    <w:p w14:paraId="1CD8A9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投标人根据实际情况，在维护期间遵照如下故障处理原则：</w:t>
      </w:r>
    </w:p>
    <w:p w14:paraId="53746966">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一）无推诿承诺：系统出现故障后，当用户根据故障情况分析后明确要求投标人提供现场抢修时，投标人不能以各种理由进行推诿，第一时间安排维修人员赶到用户现场提供支持服务，保证在用户要求的时间内到达现场配合工作。</w:t>
      </w:r>
    </w:p>
    <w:p w14:paraId="6560130C">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二）响应方式的升级：为了保证最快解决问题，投标人在发生故障后首先采用电话等远程服务响应，协助故障诊断处理和提供有效解决方案。当确认远程无法有效解决、无法判断故障点的或确认为硬件故障的，投标人将马上提供现场抢修，在约定的时间内上门处理，尽快恢复正常使用。</w:t>
      </w:r>
    </w:p>
    <w:p w14:paraId="7B3C7B7A">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（三）提供故障保修服务报告：在故障问题发生后，投标人在一周内向相关使用部门和管理部门提交详细的故障保修服务报告，包括服务时间、服务内容、操作步骤、建议等。</w:t>
      </w:r>
    </w:p>
    <w:p w14:paraId="2345BC23">
      <w:pPr>
        <w:pStyle w:val="26"/>
        <w:keepNext w:val="0"/>
        <w:keepLines w:val="0"/>
        <w:pageBreakBefore w:val="0"/>
        <w:kinsoku/>
        <w:wordWrap/>
        <w:overflowPunct/>
        <w:topLinePunct w:val="0"/>
        <w:autoSpaceDE/>
        <w:autoSpaceDN/>
        <w:bidi w:val="0"/>
        <w:adjustRightInd/>
        <w:spacing w:line="360" w:lineRule="auto"/>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7项目验收及付款</w:t>
      </w:r>
    </w:p>
    <w:p w14:paraId="39589965">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7.1项目验收</w:t>
      </w:r>
    </w:p>
    <w:p w14:paraId="3B6B57FB">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本项目采用整体验收的方式。</w:t>
      </w:r>
    </w:p>
    <w:p w14:paraId="08CC33F7">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功能交付达到合同约定，</w:t>
      </w:r>
      <w:r>
        <w:rPr>
          <w:rFonts w:hint="default" w:ascii="Times New Roman" w:hAnsi="Times New Roman" w:eastAsia="宋体" w:cs="Times New Roman"/>
          <w:color w:val="000000"/>
          <w:sz w:val="24"/>
          <w:szCs w:val="24"/>
          <w:highlight w:val="none"/>
          <w:lang w:val="en-US" w:eastAsia="zh-CN"/>
        </w:rPr>
        <w:t>系统完成安装调试工作后</w:t>
      </w:r>
      <w:r>
        <w:rPr>
          <w:rFonts w:hint="eastAsia" w:ascii="Times New Roman" w:hAnsi="Times New Roman" w:eastAsia="宋体" w:cs="Times New Roman"/>
          <w:color w:val="000000"/>
          <w:sz w:val="24"/>
          <w:szCs w:val="24"/>
          <w:highlight w:val="none"/>
          <w:lang w:val="en-US" w:eastAsia="zh-CN"/>
        </w:rPr>
        <w:t>，中标人向采购人书面提交预验收申请及</w:t>
      </w:r>
      <w:r>
        <w:rPr>
          <w:rFonts w:hint="eastAsia" w:ascii="Times New Roman" w:hAnsi="Times New Roman" w:eastAsia="宋体" w:cs="Times New Roman"/>
          <w:sz w:val="24"/>
          <w:szCs w:val="24"/>
          <w:highlight w:val="none"/>
        </w:rPr>
        <w:t>相关文档</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预验收通过后进入试运行阶段，系统稳定试运行三个月后，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eastAsia="宋体" w:cs="Times New Roman"/>
          <w:color w:val="000000"/>
          <w:sz w:val="24"/>
          <w:szCs w:val="24"/>
          <w:highlight w:val="none"/>
          <w:lang w:eastAsia="zh-CN"/>
        </w:rPr>
        <w:t>交</w:t>
      </w:r>
      <w:r>
        <w:rPr>
          <w:rFonts w:hint="eastAsia" w:ascii="Times New Roman" w:hAnsi="Times New Roman" w:eastAsia="宋体" w:cs="Times New Roman"/>
          <w:color w:val="000000"/>
          <w:sz w:val="24"/>
          <w:szCs w:val="24"/>
          <w:highlight w:val="none"/>
          <w:lang w:val="en-US" w:eastAsia="zh-CN"/>
        </w:rPr>
        <w:t>验收</w:t>
      </w:r>
      <w:r>
        <w:rPr>
          <w:rFonts w:hint="default" w:ascii="Times New Roman" w:hAnsi="Times New Roman" w:eastAsia="宋体" w:cs="Times New Roman"/>
          <w:color w:val="000000"/>
          <w:sz w:val="24"/>
          <w:szCs w:val="24"/>
          <w:highlight w:val="none"/>
          <w:lang w:val="en-US" w:eastAsia="zh-CN"/>
        </w:rPr>
        <w:t>申请</w:t>
      </w:r>
      <w:r>
        <w:rPr>
          <w:rFonts w:hint="default" w:ascii="Times New Roman" w:hAnsi="Times New Roman" w:eastAsia="宋体" w:cs="Times New Roman"/>
          <w:color w:val="000000"/>
          <w:sz w:val="24"/>
          <w:szCs w:val="24"/>
          <w:highlight w:val="none"/>
          <w:lang w:eastAsia="zh-CN"/>
        </w:rPr>
        <w:t>及相关文档</w:t>
      </w:r>
      <w:r>
        <w:rPr>
          <w:rFonts w:hint="default" w:ascii="Times New Roman" w:hAnsi="Times New Roman" w:eastAsia="宋体" w:cs="Times New Roman"/>
          <w:color w:val="000000"/>
          <w:sz w:val="24"/>
          <w:szCs w:val="24"/>
          <w:highlight w:val="none"/>
          <w:lang w:val="en-US" w:eastAsia="zh-CN"/>
        </w:rPr>
        <w:t>，由采购人邀请院外专家对项目进行验收。</w:t>
      </w:r>
    </w:p>
    <w:p w14:paraId="63F41EF1">
      <w:pPr>
        <w:pStyle w:val="26"/>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7.2付款方式</w:t>
      </w:r>
    </w:p>
    <w:p w14:paraId="198419E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本项目所有款项均以人民币支付，项目合同总价以中标价为准。付款方式如下：</w:t>
      </w:r>
    </w:p>
    <w:p w14:paraId="544FAE65">
      <w:pPr>
        <w:keepNext w:val="0"/>
        <w:keepLines w:val="0"/>
        <w:pageBreakBefore w:val="0"/>
        <w:numPr>
          <w:ilvl w:val="0"/>
          <w:numId w:val="0"/>
        </w:numPr>
        <w:kinsoku/>
        <w:wordWrap/>
        <w:overflowPunct/>
        <w:topLinePunct w:val="0"/>
        <w:autoSpaceDE/>
        <w:autoSpaceDN/>
        <w:bidi w:val="0"/>
        <w:spacing w:line="360" w:lineRule="auto"/>
        <w:ind w:right="0" w:righ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功能交付达到合同约定，系统完成安装调试工作后，中标人向采购人书面提交预验收申请及相关文档。经采购人预验收合格后，凭中标人提供的正式有效的含税发票，采购人办理相关手续后，支付合同总额的</w:t>
      </w:r>
      <w:r>
        <w:rPr>
          <w:rFonts w:hint="eastAsia" w:ascii="Times New Roman" w:hAnsi="Times New Roman" w:eastAsia="宋体" w:cs="Times New Roman"/>
          <w:sz w:val="24"/>
          <w:szCs w:val="24"/>
          <w:u w:val="single"/>
          <w:lang w:val="en-US" w:eastAsia="zh-CN"/>
        </w:rPr>
        <w:t xml:space="preserve">30 </w:t>
      </w:r>
      <w:r>
        <w:rPr>
          <w:rFonts w:hint="eastAsia" w:ascii="Times New Roman" w:hAnsi="Times New Roman" w:eastAsia="宋体" w:cs="Times New Roman"/>
          <w:sz w:val="24"/>
          <w:szCs w:val="24"/>
          <w:lang w:val="en-US" w:eastAsia="zh-CN"/>
        </w:rPr>
        <w:t>%；</w:t>
      </w:r>
    </w:p>
    <w:p w14:paraId="27C88B6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预验收通过后进入试运行阶段，系统稳定试运行三个月后，中标人向采购人书面提交验收申请及相关文档，经院外专家验收合格后，凭中标人提供的正式有效的含税发票，采购人办理相关手续后，支付合同总额的</w:t>
      </w:r>
      <w:r>
        <w:rPr>
          <w:rFonts w:hint="eastAsia" w:ascii="Times New Roman" w:hAnsi="Times New Roman" w:eastAsia="宋体" w:cs="Times New Roman"/>
          <w:sz w:val="24"/>
          <w:szCs w:val="24"/>
          <w:u w:val="single"/>
          <w:lang w:val="en-US" w:eastAsia="zh-CN"/>
        </w:rPr>
        <w:t xml:space="preserve">65 </w:t>
      </w:r>
      <w:r>
        <w:rPr>
          <w:rFonts w:hint="eastAsia" w:ascii="Times New Roman" w:hAnsi="Times New Roman" w:eastAsia="宋体" w:cs="Times New Roman"/>
          <w:sz w:val="24"/>
          <w:szCs w:val="24"/>
          <w:lang w:val="en-US" w:eastAsia="zh-CN"/>
        </w:rPr>
        <w:t>%；</w:t>
      </w:r>
    </w:p>
    <w:p w14:paraId="01522C08">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3、剩余合同</w:t>
      </w:r>
      <w:bookmarkStart w:id="8" w:name="_GoBack"/>
      <w:r>
        <w:rPr>
          <w:rFonts w:hint="eastAsia" w:ascii="Times New Roman" w:hAnsi="Times New Roman" w:eastAsia="宋体" w:cs="Times New Roman"/>
          <w:sz w:val="24"/>
          <w:szCs w:val="24"/>
          <w:lang w:val="en-US" w:eastAsia="zh-CN"/>
        </w:rPr>
        <w:t>总额的</w:t>
      </w:r>
      <w:r>
        <w:rPr>
          <w:rFonts w:hint="eastAsia" w:ascii="Times New Roman" w:hAnsi="Times New Roman" w:eastAsia="宋体" w:cs="Times New Roman"/>
          <w:sz w:val="24"/>
          <w:szCs w:val="24"/>
          <w:u w:val="single"/>
          <w:lang w:val="en-US" w:eastAsia="zh-CN"/>
        </w:rPr>
        <w:t>5</w:t>
      </w:r>
      <w:r>
        <w:rPr>
          <w:rFonts w:hint="eastAsia" w:ascii="Times New Roman" w:hAnsi="Times New Roman" w:eastAsia="宋体" w:cs="Times New Roman"/>
          <w:sz w:val="24"/>
          <w:szCs w:val="24"/>
          <w:lang w:val="en-US" w:eastAsia="zh-CN"/>
        </w:rPr>
        <w:t>%合同款转为质保金，硬件保修期结束后，采购人相关部门对中标人保修服务进行评价（详见附件1：</w:t>
      </w:r>
      <w:r>
        <w:rPr>
          <w:rFonts w:hint="eastAsia" w:ascii="Times New Roman" w:hAnsi="Times New Roman" w:eastAsia="宋体" w:cs="Times New Roman"/>
          <w:snapToGrid w:val="0"/>
          <w:color w:val="000000"/>
          <w:kern w:val="0"/>
          <w:sz w:val="24"/>
          <w:szCs w:val="24"/>
          <w:lang w:val="en-US" w:eastAsia="zh-CN" w:bidi="ar-SA"/>
        </w:rPr>
        <w:t>保修期评价表</w:t>
      </w:r>
      <w:r>
        <w:rPr>
          <w:rFonts w:hint="eastAsia" w:ascii="Times New Roman" w:hAnsi="Times New Roman" w:eastAsia="宋体" w:cs="Times New Roman"/>
          <w:sz w:val="24"/>
          <w:szCs w:val="24"/>
          <w:lang w:val="en-US" w:eastAsia="zh-CN"/>
        </w:rPr>
        <w:t>），根据评价结果凭中标人提供的正式有效的含税发票，采购人办理相关手续后，支付剩余合同款项。投标人保修服务不达标，采购人有权拒付或扣减投标人质保</w:t>
      </w:r>
      <w:bookmarkEnd w:id="8"/>
      <w:r>
        <w:rPr>
          <w:rFonts w:hint="eastAsia" w:ascii="Times New Roman" w:hAnsi="Times New Roman" w:eastAsia="宋体" w:cs="Times New Roman"/>
          <w:sz w:val="24"/>
          <w:szCs w:val="24"/>
          <w:lang w:val="en-US" w:eastAsia="zh-CN"/>
        </w:rPr>
        <w:t>金。</w:t>
      </w:r>
    </w:p>
    <w:p w14:paraId="6D3481F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维保服务评价结果为优秀，全额支付</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47111B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维保评价结果为良好，支付85%</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5884EC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维保评价结果为合格，支付70%</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4DA1A7B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397"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rPr>
        <w:t>维保评价结果为不合格，</w:t>
      </w:r>
      <w:r>
        <w:rPr>
          <w:rFonts w:hint="eastAsia" w:ascii="宋体" w:hAnsi="宋体" w:eastAsia="宋体" w:cs="宋体"/>
          <w:i w:val="0"/>
          <w:iCs w:val="0"/>
          <w:caps w:val="0"/>
          <w:color w:val="000000"/>
          <w:spacing w:val="0"/>
          <w:sz w:val="24"/>
          <w:szCs w:val="24"/>
          <w:lang w:val="en-US" w:eastAsia="zh-CN"/>
        </w:rPr>
        <w:t>采购人</w:t>
      </w:r>
      <w:r>
        <w:rPr>
          <w:rFonts w:ascii="宋体" w:hAnsi="宋体" w:eastAsia="宋体" w:cs="宋体"/>
          <w:i w:val="0"/>
          <w:iCs w:val="0"/>
          <w:caps w:val="0"/>
          <w:color w:val="000000"/>
          <w:spacing w:val="0"/>
          <w:sz w:val="24"/>
          <w:szCs w:val="24"/>
        </w:rPr>
        <w:t>有权拒付</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rPr>
        <w:t>。</w:t>
      </w:r>
    </w:p>
    <w:p w14:paraId="18F90C59">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p>
    <w:p w14:paraId="22CCD2DD">
      <w:pPr>
        <w:rPr>
          <w:rFonts w:hint="eastAsia" w:ascii="宋体" w:hAnsi="宋体" w:eastAsia="宋体"/>
        </w:rPr>
      </w:pPr>
      <w:r>
        <w:rPr>
          <w:rFonts w:hint="eastAsia" w:ascii="宋体" w:hAnsi="宋体" w:eastAsia="宋体"/>
        </w:rPr>
        <w:br w:type="page"/>
      </w:r>
    </w:p>
    <w:p w14:paraId="335EDAFE">
      <w:pPr>
        <w:bidi w:val="0"/>
        <w:jc w:val="left"/>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附件1：</w:t>
      </w:r>
    </w:p>
    <w:p w14:paraId="51B6D3CF">
      <w:pPr>
        <w:bidi w:val="0"/>
        <w:jc w:val="center"/>
        <w:rPr>
          <w:rFonts w:hint="default" w:ascii="宋体" w:hAnsi="宋体" w:cs="宋体"/>
          <w:sz w:val="28"/>
          <w:szCs w:val="28"/>
          <w:lang w:val="en-US" w:eastAsia="zh-CN"/>
        </w:rPr>
      </w:pPr>
      <w:r>
        <w:rPr>
          <w:rFonts w:hint="eastAsia" w:ascii="Times New Roman" w:hAnsi="Times New Roman" w:eastAsia="宋体" w:cs="Times New Roman"/>
          <w:snapToGrid w:val="0"/>
          <w:color w:val="000000"/>
          <w:kern w:val="0"/>
          <w:sz w:val="24"/>
          <w:szCs w:val="24"/>
          <w:lang w:val="en-US" w:eastAsia="zh-CN" w:bidi="ar-SA"/>
        </w:rPr>
        <w:t>海南医科大学第二附属医院手术护理系统保修期评价表</w:t>
      </w:r>
    </w:p>
    <w:tbl>
      <w:tblPr>
        <w:tblStyle w:val="17"/>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532"/>
        <w:gridCol w:w="1459"/>
        <w:gridCol w:w="1773"/>
        <w:gridCol w:w="1418"/>
        <w:gridCol w:w="3068"/>
      </w:tblGrid>
      <w:tr w14:paraId="625CD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254" w:type="dxa"/>
            <w:gridSpan w:val="2"/>
            <w:vAlign w:val="center"/>
          </w:tcPr>
          <w:p w14:paraId="385B094A">
            <w:pPr>
              <w:pStyle w:val="10"/>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3232" w:type="dxa"/>
            <w:gridSpan w:val="2"/>
            <w:vAlign w:val="center"/>
          </w:tcPr>
          <w:p w14:paraId="1C4C8D45">
            <w:pPr>
              <w:pStyle w:val="10"/>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p>
        </w:tc>
        <w:tc>
          <w:tcPr>
            <w:tcW w:w="1418" w:type="dxa"/>
            <w:vAlign w:val="center"/>
          </w:tcPr>
          <w:p w14:paraId="05EF22AB">
            <w:pPr>
              <w:pStyle w:val="10"/>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承建供应商</w:t>
            </w:r>
          </w:p>
        </w:tc>
        <w:tc>
          <w:tcPr>
            <w:tcW w:w="3068" w:type="dxa"/>
            <w:vAlign w:val="center"/>
          </w:tcPr>
          <w:p w14:paraId="271A1157">
            <w:pPr>
              <w:pStyle w:val="10"/>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p>
        </w:tc>
      </w:tr>
      <w:tr w14:paraId="11C57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6"/>
            <w:vAlign w:val="center"/>
          </w:tcPr>
          <w:p w14:paraId="40CC3C53">
            <w:pPr>
              <w:pStyle w:val="10"/>
              <w:keepNext w:val="0"/>
              <w:keepLines w:val="0"/>
              <w:pageBreakBefore w:val="0"/>
              <w:widowControl/>
              <w:tabs>
                <w:tab w:val="left" w:pos="420"/>
              </w:tabs>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评分规则：本评价表10个评分项，每个评分项0~10分，满分合计100分。各评分项得分合计≤70，本项目质保服务不合格，不予支付质保金；70＜各评分项得分合计≤80，项目质保服务合格，支付70%质保金；80＜各评分项得分合计≤90，质保服务良好，支付85%质保金；90＜各评分项得分合计≤100，质保服务优秀，支付100%质保金；</w:t>
            </w:r>
          </w:p>
        </w:tc>
      </w:tr>
      <w:tr w14:paraId="418C8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14:paraId="19CFD71C">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91" w:type="dxa"/>
            <w:gridSpan w:val="2"/>
            <w:vAlign w:val="center"/>
          </w:tcPr>
          <w:p w14:paraId="06A9BABA">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评价维度</w:t>
            </w:r>
          </w:p>
        </w:tc>
        <w:tc>
          <w:tcPr>
            <w:tcW w:w="6259" w:type="dxa"/>
            <w:gridSpan w:val="3"/>
          </w:tcPr>
          <w:p w14:paraId="34058E4E">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各评分项0~10分</w:t>
            </w:r>
            <w:r>
              <w:rPr>
                <w:rFonts w:hint="eastAsia" w:ascii="宋体" w:hAnsi="宋体" w:eastAsia="宋体" w:cs="宋体"/>
                <w:sz w:val="21"/>
                <w:szCs w:val="21"/>
                <w:lang w:eastAsia="zh-CN"/>
              </w:rPr>
              <w:t>）</w:t>
            </w:r>
          </w:p>
        </w:tc>
      </w:tr>
      <w:tr w14:paraId="39113E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E8B76ED">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91" w:type="dxa"/>
            <w:gridSpan w:val="2"/>
            <w:vAlign w:val="top"/>
          </w:tcPr>
          <w:p w14:paraId="0B7359E8">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系统安全性</w:t>
            </w:r>
          </w:p>
        </w:tc>
        <w:tc>
          <w:tcPr>
            <w:tcW w:w="6259" w:type="dxa"/>
            <w:gridSpan w:val="3"/>
            <w:vAlign w:val="top"/>
          </w:tcPr>
          <w:p w14:paraId="7F2C795D">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0B23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75A7577">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91" w:type="dxa"/>
            <w:gridSpan w:val="2"/>
            <w:vAlign w:val="top"/>
          </w:tcPr>
          <w:p w14:paraId="2CC691A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系统稳定性</w:t>
            </w:r>
          </w:p>
        </w:tc>
        <w:tc>
          <w:tcPr>
            <w:tcW w:w="6259" w:type="dxa"/>
            <w:gridSpan w:val="3"/>
            <w:vAlign w:val="top"/>
          </w:tcPr>
          <w:p w14:paraId="55F2F013">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040A4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218724CD">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91" w:type="dxa"/>
            <w:gridSpan w:val="2"/>
            <w:vAlign w:val="top"/>
          </w:tcPr>
          <w:p w14:paraId="6326A902">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系统流畅性</w:t>
            </w:r>
          </w:p>
        </w:tc>
        <w:tc>
          <w:tcPr>
            <w:tcW w:w="6259" w:type="dxa"/>
            <w:gridSpan w:val="3"/>
            <w:vAlign w:val="top"/>
          </w:tcPr>
          <w:p w14:paraId="0E25B36B">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49C5C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6450AD2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991" w:type="dxa"/>
            <w:gridSpan w:val="2"/>
            <w:vAlign w:val="top"/>
          </w:tcPr>
          <w:p w14:paraId="2BC60984">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系统连续性</w:t>
            </w:r>
          </w:p>
        </w:tc>
        <w:tc>
          <w:tcPr>
            <w:tcW w:w="6259" w:type="dxa"/>
            <w:gridSpan w:val="3"/>
            <w:vAlign w:val="top"/>
          </w:tcPr>
          <w:p w14:paraId="283CD74E">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143A9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0B93026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991" w:type="dxa"/>
            <w:gridSpan w:val="2"/>
            <w:vAlign w:val="top"/>
          </w:tcPr>
          <w:p w14:paraId="0371CC55">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平均无故障时间</w:t>
            </w:r>
          </w:p>
        </w:tc>
        <w:tc>
          <w:tcPr>
            <w:tcW w:w="6259" w:type="dxa"/>
            <w:gridSpan w:val="3"/>
            <w:vAlign w:val="top"/>
          </w:tcPr>
          <w:p w14:paraId="228C45B8">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14EE2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2E75771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991" w:type="dxa"/>
            <w:gridSpan w:val="2"/>
            <w:vAlign w:val="top"/>
          </w:tcPr>
          <w:p w14:paraId="6CC88C37">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故障响应时间</w:t>
            </w:r>
          </w:p>
        </w:tc>
        <w:tc>
          <w:tcPr>
            <w:tcW w:w="6259" w:type="dxa"/>
            <w:gridSpan w:val="3"/>
            <w:vAlign w:val="top"/>
          </w:tcPr>
          <w:p w14:paraId="19AA4A6B">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3833C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0EA3716">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991" w:type="dxa"/>
            <w:gridSpan w:val="2"/>
            <w:vAlign w:val="top"/>
          </w:tcPr>
          <w:p w14:paraId="6348B67B">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故障恢复速度</w:t>
            </w:r>
          </w:p>
        </w:tc>
        <w:tc>
          <w:tcPr>
            <w:tcW w:w="6259" w:type="dxa"/>
            <w:gridSpan w:val="3"/>
            <w:vAlign w:val="top"/>
          </w:tcPr>
          <w:p w14:paraId="7AE8A092">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77791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A3EE8DB">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991" w:type="dxa"/>
            <w:gridSpan w:val="2"/>
            <w:vAlign w:val="top"/>
          </w:tcPr>
          <w:p w14:paraId="0F3880A8">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故障改进评价</w:t>
            </w:r>
          </w:p>
        </w:tc>
        <w:tc>
          <w:tcPr>
            <w:tcW w:w="6259" w:type="dxa"/>
            <w:gridSpan w:val="3"/>
            <w:vAlign w:val="top"/>
          </w:tcPr>
          <w:p w14:paraId="5F335F66">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5730A3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0A271068">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991" w:type="dxa"/>
            <w:gridSpan w:val="2"/>
            <w:vAlign w:val="top"/>
          </w:tcPr>
          <w:p w14:paraId="1586F94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系统日常维护</w:t>
            </w:r>
          </w:p>
        </w:tc>
        <w:tc>
          <w:tcPr>
            <w:tcW w:w="6259" w:type="dxa"/>
            <w:gridSpan w:val="3"/>
            <w:vAlign w:val="top"/>
          </w:tcPr>
          <w:p w14:paraId="4492356F">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72C21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5B39925D">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991" w:type="dxa"/>
            <w:gridSpan w:val="2"/>
            <w:vAlign w:val="top"/>
          </w:tcPr>
          <w:p w14:paraId="050714C2">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日常需求响应</w:t>
            </w:r>
          </w:p>
        </w:tc>
        <w:tc>
          <w:tcPr>
            <w:tcW w:w="6259" w:type="dxa"/>
            <w:gridSpan w:val="3"/>
            <w:vAlign w:val="top"/>
          </w:tcPr>
          <w:p w14:paraId="7FFFB2D7">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40594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3"/>
            <w:vAlign w:val="top"/>
          </w:tcPr>
          <w:p w14:paraId="391571DE">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259" w:type="dxa"/>
            <w:gridSpan w:val="3"/>
            <w:vAlign w:val="top"/>
          </w:tcPr>
          <w:p w14:paraId="72EFBAB3">
            <w:pPr>
              <w:pStyle w:val="10"/>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34AFD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6"/>
          </w:tcPr>
          <w:p w14:paraId="124269DA">
            <w:pPr>
              <w:pStyle w:val="10"/>
              <w:widowControl w:val="0"/>
              <w:tabs>
                <w:tab w:val="left" w:pos="420"/>
              </w:tabs>
              <w:spacing w:before="87"/>
              <w:ind w:left="0"/>
              <w:jc w:val="both"/>
              <w:rPr>
                <w:rFonts w:hint="eastAsia" w:ascii="宋体" w:hAnsi="宋体" w:eastAsia="宋体" w:cs="宋体"/>
                <w:sz w:val="21"/>
                <w:szCs w:val="21"/>
              </w:rPr>
            </w:pPr>
            <w:r>
              <w:rPr>
                <w:rFonts w:hint="eastAsia" w:ascii="宋体" w:hAnsi="宋体" w:eastAsia="宋体" w:cs="宋体"/>
                <w:sz w:val="21"/>
                <w:szCs w:val="21"/>
              </w:rPr>
              <w:t>评价意见：</w:t>
            </w:r>
          </w:p>
          <w:p w14:paraId="06BF7646">
            <w:pPr>
              <w:pStyle w:val="10"/>
              <w:widowControl w:val="0"/>
              <w:tabs>
                <w:tab w:val="left" w:pos="420"/>
              </w:tabs>
              <w:spacing w:before="87"/>
              <w:ind w:left="0"/>
              <w:jc w:val="both"/>
              <w:rPr>
                <w:rFonts w:hint="eastAsia" w:ascii="宋体" w:hAnsi="宋体" w:eastAsia="宋体" w:cs="宋体"/>
                <w:sz w:val="21"/>
                <w:szCs w:val="21"/>
              </w:rPr>
            </w:pPr>
          </w:p>
          <w:p w14:paraId="6309A022">
            <w:pPr>
              <w:pStyle w:val="10"/>
              <w:widowControl w:val="0"/>
              <w:tabs>
                <w:tab w:val="left" w:pos="420"/>
              </w:tabs>
              <w:spacing w:before="87"/>
              <w:ind w:left="0"/>
              <w:jc w:val="both"/>
              <w:rPr>
                <w:rFonts w:hint="eastAsia" w:ascii="宋体" w:hAnsi="宋体" w:eastAsia="宋体" w:cs="宋体"/>
                <w:sz w:val="21"/>
                <w:szCs w:val="21"/>
              </w:rPr>
            </w:pPr>
          </w:p>
          <w:p w14:paraId="2ED57B71">
            <w:pPr>
              <w:pStyle w:val="10"/>
              <w:widowControl w:val="0"/>
              <w:tabs>
                <w:tab w:val="left" w:pos="420"/>
              </w:tabs>
              <w:spacing w:before="87"/>
              <w:ind w:left="0"/>
              <w:jc w:val="both"/>
              <w:rPr>
                <w:rFonts w:hint="eastAsia" w:ascii="宋体" w:hAnsi="宋体" w:eastAsia="宋体" w:cs="宋体"/>
                <w:sz w:val="21"/>
                <w:szCs w:val="21"/>
              </w:rPr>
            </w:pPr>
          </w:p>
          <w:p w14:paraId="5E31988A">
            <w:pPr>
              <w:pStyle w:val="10"/>
              <w:widowControl w:val="0"/>
              <w:tabs>
                <w:tab w:val="left" w:pos="420"/>
              </w:tabs>
              <w:spacing w:before="87"/>
              <w:ind w:left="0"/>
              <w:jc w:val="both"/>
              <w:rPr>
                <w:rFonts w:hint="eastAsia" w:ascii="宋体" w:hAnsi="宋体" w:eastAsia="宋体" w:cs="宋体"/>
                <w:sz w:val="21"/>
                <w:szCs w:val="21"/>
              </w:rPr>
            </w:pPr>
          </w:p>
          <w:p w14:paraId="2B6AA22A">
            <w:pPr>
              <w:pStyle w:val="10"/>
              <w:widowControl w:val="0"/>
              <w:tabs>
                <w:tab w:val="left" w:pos="420"/>
              </w:tabs>
              <w:spacing w:before="87"/>
              <w:ind w:left="0"/>
              <w:jc w:val="both"/>
              <w:rPr>
                <w:rFonts w:hint="eastAsia" w:ascii="宋体" w:hAnsi="宋体" w:eastAsia="宋体" w:cs="宋体"/>
                <w:sz w:val="21"/>
                <w:szCs w:val="21"/>
              </w:rPr>
            </w:pPr>
          </w:p>
          <w:p w14:paraId="5E3615BF">
            <w:pPr>
              <w:pStyle w:val="10"/>
              <w:widowControl w:val="0"/>
              <w:tabs>
                <w:tab w:val="left" w:pos="420"/>
              </w:tabs>
              <w:spacing w:before="87"/>
              <w:ind w:left="0"/>
              <w:jc w:val="both"/>
              <w:rPr>
                <w:rFonts w:hint="eastAsia" w:ascii="宋体" w:hAnsi="宋体" w:eastAsia="宋体" w:cs="宋体"/>
                <w:sz w:val="21"/>
                <w:szCs w:val="21"/>
              </w:rPr>
            </w:pPr>
          </w:p>
          <w:p w14:paraId="3C9153BF">
            <w:pPr>
              <w:pStyle w:val="10"/>
              <w:widowControl w:val="0"/>
              <w:tabs>
                <w:tab w:val="left" w:pos="420"/>
              </w:tabs>
              <w:spacing w:before="8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58BB7D99">
            <w:pPr>
              <w:pStyle w:val="10"/>
              <w:widowControl w:val="0"/>
              <w:tabs>
                <w:tab w:val="left" w:pos="420"/>
              </w:tabs>
              <w:spacing w:before="87"/>
              <w:jc w:val="both"/>
              <w:rPr>
                <w:rFonts w:hint="eastAsia" w:ascii="宋体" w:hAnsi="宋体" w:eastAsia="宋体" w:cs="宋体"/>
                <w:sz w:val="21"/>
                <w:szCs w:val="21"/>
              </w:rPr>
            </w:pP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日期：      年    月    日</w:t>
            </w:r>
            <w:r>
              <w:rPr>
                <w:rFonts w:hint="eastAsia" w:ascii="宋体" w:hAnsi="宋体" w:eastAsia="宋体" w:cs="宋体"/>
                <w:sz w:val="21"/>
                <w:szCs w:val="21"/>
              </w:rPr>
              <w:t xml:space="preserve">                                                    </w:t>
            </w:r>
          </w:p>
        </w:tc>
      </w:tr>
    </w:tbl>
    <w:p w14:paraId="1D76D0C0">
      <w:pPr>
        <w:rPr>
          <w:rFonts w:hint="default"/>
          <w:sz w:val="24"/>
          <w:szCs w:val="24"/>
          <w:lang w:val="en-US" w:eastAsia="zh-CN"/>
        </w:rPr>
      </w:pPr>
    </w:p>
    <w:p w14:paraId="467E7358">
      <w:pPr>
        <w:numPr>
          <w:ilvl w:val="0"/>
          <w:numId w:val="0"/>
        </w:numPr>
        <w:adjustRightInd w:val="0"/>
        <w:snapToGrid w:val="0"/>
        <w:spacing w:before="156" w:beforeLines="50" w:after="156" w:afterLines="50" w:line="360" w:lineRule="auto"/>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56C73"/>
    <w:multiLevelType w:val="singleLevel"/>
    <w:tmpl w:val="9EB56C73"/>
    <w:lvl w:ilvl="0" w:tentative="0">
      <w:start w:val="1"/>
      <w:numFmt w:val="decimal"/>
      <w:lvlText w:val="%1."/>
      <w:lvlJc w:val="left"/>
      <w:pPr>
        <w:tabs>
          <w:tab w:val="left" w:pos="312"/>
        </w:tabs>
      </w:pPr>
    </w:lvl>
  </w:abstractNum>
  <w:abstractNum w:abstractNumId="1">
    <w:nsid w:val="B6ACCF64"/>
    <w:multiLevelType w:val="singleLevel"/>
    <w:tmpl w:val="B6ACCF64"/>
    <w:lvl w:ilvl="0" w:tentative="0">
      <w:start w:val="1"/>
      <w:numFmt w:val="decimal"/>
      <w:suff w:val="nothing"/>
      <w:lvlText w:val="（%1）"/>
      <w:lvlJc w:val="left"/>
    </w:lvl>
  </w:abstractNum>
  <w:abstractNum w:abstractNumId="2">
    <w:nsid w:val="F709B6C6"/>
    <w:multiLevelType w:val="singleLevel"/>
    <w:tmpl w:val="F709B6C6"/>
    <w:lvl w:ilvl="0" w:tentative="0">
      <w:start w:val="1"/>
      <w:numFmt w:val="decimal"/>
      <w:suff w:val="nothing"/>
      <w:lvlText w:val="%1、"/>
      <w:lvlJc w:val="left"/>
    </w:lvl>
  </w:abstractNum>
  <w:abstractNum w:abstractNumId="3">
    <w:nsid w:val="11760DB1"/>
    <w:multiLevelType w:val="multilevel"/>
    <w:tmpl w:val="11760DB1"/>
    <w:lvl w:ilvl="0" w:tentative="0">
      <w:start w:val="1"/>
      <w:numFmt w:val="decimal"/>
      <w:lvlText w:val="%1"/>
      <w:lvlJc w:val="left"/>
      <w:pPr>
        <w:ind w:left="0" w:firstLine="0"/>
      </w:pPr>
      <w:rPr>
        <w:rFonts w:hint="eastAsia"/>
        <w:b/>
        <w:bCs w:val="0"/>
      </w:rPr>
    </w:lvl>
    <w:lvl w:ilvl="1" w:tentative="0">
      <w:start w:val="1"/>
      <w:numFmt w:val="decimal"/>
      <w:pStyle w:val="3"/>
      <w:lvlText w:val="%1.%2"/>
      <w:lvlJc w:val="left"/>
      <w:pPr>
        <w:ind w:left="0" w:firstLine="0"/>
      </w:pPr>
    </w:lvl>
    <w:lvl w:ilvl="2" w:tentative="0">
      <w:start w:val="1"/>
      <w:numFmt w:val="decimal"/>
      <w:pStyle w:val="4"/>
      <w:lvlText w:val="%1.%2.%3"/>
      <w:lvlJc w:val="left"/>
      <w:pPr>
        <w:ind w:left="993" w:firstLine="0"/>
      </w:pPr>
    </w:lvl>
    <w:lvl w:ilvl="3" w:tentative="0">
      <w:start w:val="1"/>
      <w:numFmt w:val="decimal"/>
      <w:lvlText w:val="%1.%2.%3.%4"/>
      <w:lvlJc w:val="left"/>
      <w:pPr>
        <w:ind w:left="0" w:firstLine="0"/>
      </w:pPr>
      <w:rPr>
        <w:b/>
        <w:bCs/>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24D71130"/>
    <w:multiLevelType w:val="singleLevel"/>
    <w:tmpl w:val="24D71130"/>
    <w:lvl w:ilvl="0" w:tentative="0">
      <w:start w:val="1"/>
      <w:numFmt w:val="decimal"/>
      <w:lvlText w:val="%1."/>
      <w:lvlJc w:val="left"/>
      <w:pPr>
        <w:tabs>
          <w:tab w:val="left" w:pos="312"/>
        </w:tabs>
      </w:pPr>
    </w:lvl>
  </w:abstractNum>
  <w:abstractNum w:abstractNumId="6">
    <w:nsid w:val="473578BA"/>
    <w:multiLevelType w:val="multilevel"/>
    <w:tmpl w:val="473578BA"/>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EB54D00"/>
    <w:multiLevelType w:val="multilevel"/>
    <w:tmpl w:val="7EB54D0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jJhNDQ2NTZjYTNiMDJmNWUzZDk4M2VlOGVkMWYifQ=="/>
  </w:docVars>
  <w:rsids>
    <w:rsidRoot w:val="7AD66152"/>
    <w:rsid w:val="0008307C"/>
    <w:rsid w:val="000C4758"/>
    <w:rsid w:val="000E6857"/>
    <w:rsid w:val="0012132E"/>
    <w:rsid w:val="00172680"/>
    <w:rsid w:val="001A2836"/>
    <w:rsid w:val="001E1A00"/>
    <w:rsid w:val="00291C4F"/>
    <w:rsid w:val="002E7CE3"/>
    <w:rsid w:val="00354FBB"/>
    <w:rsid w:val="003A2EC4"/>
    <w:rsid w:val="003E5560"/>
    <w:rsid w:val="003F5A9F"/>
    <w:rsid w:val="00497FE3"/>
    <w:rsid w:val="004A27B8"/>
    <w:rsid w:val="00504BF4"/>
    <w:rsid w:val="005160EC"/>
    <w:rsid w:val="00552024"/>
    <w:rsid w:val="00556750"/>
    <w:rsid w:val="00597B95"/>
    <w:rsid w:val="005C560E"/>
    <w:rsid w:val="0062155A"/>
    <w:rsid w:val="0066118F"/>
    <w:rsid w:val="00674DC0"/>
    <w:rsid w:val="007F6970"/>
    <w:rsid w:val="008050EC"/>
    <w:rsid w:val="00806D2E"/>
    <w:rsid w:val="0082257F"/>
    <w:rsid w:val="008455BF"/>
    <w:rsid w:val="008B4D90"/>
    <w:rsid w:val="009075DD"/>
    <w:rsid w:val="00973B74"/>
    <w:rsid w:val="00975EBE"/>
    <w:rsid w:val="009803A4"/>
    <w:rsid w:val="00A31598"/>
    <w:rsid w:val="00A464EE"/>
    <w:rsid w:val="00AF4F2D"/>
    <w:rsid w:val="00B06F80"/>
    <w:rsid w:val="00B07CA2"/>
    <w:rsid w:val="00B21C1C"/>
    <w:rsid w:val="00B245EF"/>
    <w:rsid w:val="00B55E80"/>
    <w:rsid w:val="00B93BA2"/>
    <w:rsid w:val="00C3335C"/>
    <w:rsid w:val="00CC34B1"/>
    <w:rsid w:val="00CC3F52"/>
    <w:rsid w:val="00CF1A9A"/>
    <w:rsid w:val="00D157F9"/>
    <w:rsid w:val="00D24D9B"/>
    <w:rsid w:val="00D425E8"/>
    <w:rsid w:val="00D467CE"/>
    <w:rsid w:val="00D83796"/>
    <w:rsid w:val="00DC7DE0"/>
    <w:rsid w:val="00DE5ACE"/>
    <w:rsid w:val="00DF62BA"/>
    <w:rsid w:val="00E8282E"/>
    <w:rsid w:val="00E97FBE"/>
    <w:rsid w:val="00F66F70"/>
    <w:rsid w:val="01154EDD"/>
    <w:rsid w:val="015D6366"/>
    <w:rsid w:val="02B16677"/>
    <w:rsid w:val="057E5747"/>
    <w:rsid w:val="06F757B1"/>
    <w:rsid w:val="072F4F4B"/>
    <w:rsid w:val="0D4E3C51"/>
    <w:rsid w:val="0E0628A2"/>
    <w:rsid w:val="0E7C659C"/>
    <w:rsid w:val="126D2D8D"/>
    <w:rsid w:val="149E6080"/>
    <w:rsid w:val="159E5049"/>
    <w:rsid w:val="16635CC9"/>
    <w:rsid w:val="17BD3EAD"/>
    <w:rsid w:val="18A269CB"/>
    <w:rsid w:val="1988673C"/>
    <w:rsid w:val="1DC51D0D"/>
    <w:rsid w:val="20205CD3"/>
    <w:rsid w:val="251C10A4"/>
    <w:rsid w:val="26267B9C"/>
    <w:rsid w:val="26347A30"/>
    <w:rsid w:val="286D29E1"/>
    <w:rsid w:val="286D547B"/>
    <w:rsid w:val="29EC23D0"/>
    <w:rsid w:val="2AAC4894"/>
    <w:rsid w:val="30A9101A"/>
    <w:rsid w:val="33621632"/>
    <w:rsid w:val="344A7AD2"/>
    <w:rsid w:val="34A64F4F"/>
    <w:rsid w:val="350D11D3"/>
    <w:rsid w:val="35B44695"/>
    <w:rsid w:val="365E1EC3"/>
    <w:rsid w:val="38DD14A7"/>
    <w:rsid w:val="38F65019"/>
    <w:rsid w:val="3F31246A"/>
    <w:rsid w:val="400C0C7E"/>
    <w:rsid w:val="416845DA"/>
    <w:rsid w:val="416955E6"/>
    <w:rsid w:val="44093E52"/>
    <w:rsid w:val="46963997"/>
    <w:rsid w:val="47EB4CD7"/>
    <w:rsid w:val="48686586"/>
    <w:rsid w:val="48931F3C"/>
    <w:rsid w:val="4A863A96"/>
    <w:rsid w:val="4B321EE0"/>
    <w:rsid w:val="4B555BCF"/>
    <w:rsid w:val="4C656CD3"/>
    <w:rsid w:val="4ECA68D4"/>
    <w:rsid w:val="522E7F72"/>
    <w:rsid w:val="536E7809"/>
    <w:rsid w:val="55105F1C"/>
    <w:rsid w:val="55604255"/>
    <w:rsid w:val="584B45E2"/>
    <w:rsid w:val="58CE6FC1"/>
    <w:rsid w:val="5A011741"/>
    <w:rsid w:val="5DF0482E"/>
    <w:rsid w:val="60624248"/>
    <w:rsid w:val="609A4358"/>
    <w:rsid w:val="628D1FA2"/>
    <w:rsid w:val="661C75BD"/>
    <w:rsid w:val="66B671D1"/>
    <w:rsid w:val="682D0541"/>
    <w:rsid w:val="696C260A"/>
    <w:rsid w:val="69927EF2"/>
    <w:rsid w:val="6AEB755E"/>
    <w:rsid w:val="6FF62C2D"/>
    <w:rsid w:val="77495D38"/>
    <w:rsid w:val="7AD66152"/>
    <w:rsid w:val="7B876E2F"/>
    <w:rsid w:val="7C09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2"/>
      </w:numPr>
      <w:spacing w:before="156" w:beforeLines="50" w:after="156" w:afterLines="50" w:line="416" w:lineRule="auto"/>
      <w:outlineLvl w:val="1"/>
    </w:pPr>
    <w:rPr>
      <w:rFonts w:ascii="宋体" w:hAnsi="宋体" w:eastAsia="宋体" w:cstheme="majorBidi"/>
      <w:b/>
      <w:bCs/>
      <w:sz w:val="28"/>
      <w:szCs w:val="32"/>
    </w:rPr>
  </w:style>
  <w:style w:type="paragraph" w:styleId="4">
    <w:name w:val="heading 3"/>
    <w:basedOn w:val="1"/>
    <w:next w:val="1"/>
    <w:unhideWhenUsed/>
    <w:qFormat/>
    <w:uiPriority w:val="0"/>
    <w:pPr>
      <w:keepNext/>
      <w:keepLines/>
      <w:numPr>
        <w:ilvl w:val="2"/>
        <w:numId w:val="2"/>
      </w:numPr>
      <w:spacing w:before="156" w:beforeLines="50" w:after="156" w:afterLines="50" w:line="416" w:lineRule="auto"/>
      <w:ind w:left="0" w:right="210" w:rightChars="100"/>
      <w:jc w:val="left"/>
      <w:outlineLvl w:val="2"/>
    </w:pPr>
    <w:rPr>
      <w:rFonts w:ascii="宋体" w:hAnsi="宋体" w:eastAsia="宋体" w:cs="Times New Roman"/>
      <w:b/>
      <w:bCs/>
      <w:color w:val="000000"/>
      <w:kern w:val="0"/>
      <w:sz w:val="28"/>
      <w:szCs w:val="21"/>
    </w:rPr>
  </w:style>
  <w:style w:type="paragraph" w:styleId="5">
    <w:name w:val="heading 4"/>
    <w:basedOn w:val="1"/>
    <w:next w:val="1"/>
    <w:autoRedefine/>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annotation text"/>
    <w:basedOn w:val="1"/>
    <w:link w:val="20"/>
    <w:qFormat/>
    <w:uiPriority w:val="0"/>
    <w:pPr>
      <w:jc w:val="left"/>
    </w:pPr>
  </w:style>
  <w:style w:type="paragraph" w:styleId="10">
    <w:name w:val="Body Text"/>
    <w:basedOn w:val="1"/>
    <w:qFormat/>
    <w:uiPriority w:val="99"/>
    <w:pPr>
      <w:spacing w:after="120"/>
    </w:pPr>
    <w:rPr>
      <w:rFonts w:ascii="Tahoma" w:hAnsi="Tahoma" w:eastAsia="等线" w:cs="Times New Roman"/>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tabs>
        <w:tab w:val="center" w:pos="4153"/>
        <w:tab w:val="right" w:pos="8306"/>
      </w:tabs>
      <w:snapToGrid w:val="0"/>
      <w:jc w:val="center"/>
    </w:pPr>
    <w:rPr>
      <w:sz w:val="18"/>
      <w:szCs w:val="18"/>
    </w:rPr>
  </w:style>
  <w:style w:type="paragraph" w:styleId="13">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14">
    <w:name w:val="Normal (Web)"/>
    <w:basedOn w:val="1"/>
    <w:unhideWhenUsed/>
    <w:qFormat/>
    <w:uiPriority w:val="99"/>
    <w:rPr>
      <w:sz w:val="24"/>
      <w:szCs w:val="22"/>
    </w:rPr>
  </w:style>
  <w:style w:type="paragraph" w:styleId="15">
    <w:name w:val="annotation subject"/>
    <w:basedOn w:val="9"/>
    <w:next w:val="9"/>
    <w:link w:val="21"/>
    <w:qFormat/>
    <w:uiPriority w:val="0"/>
    <w:rPr>
      <w:b/>
      <w:bCs/>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character" w:customStyle="1" w:styleId="20">
    <w:name w:val="批注文字 字符"/>
    <w:basedOn w:val="18"/>
    <w:link w:val="9"/>
    <w:autoRedefine/>
    <w:qFormat/>
    <w:uiPriority w:val="0"/>
    <w:rPr>
      <w:kern w:val="2"/>
      <w:sz w:val="21"/>
      <w:szCs w:val="24"/>
    </w:rPr>
  </w:style>
  <w:style w:type="character" w:customStyle="1" w:styleId="21">
    <w:name w:val="批注主题 字符"/>
    <w:basedOn w:val="20"/>
    <w:link w:val="15"/>
    <w:qFormat/>
    <w:uiPriority w:val="0"/>
    <w:rPr>
      <w:b/>
      <w:bCs/>
      <w:kern w:val="2"/>
      <w:sz w:val="21"/>
      <w:szCs w:val="24"/>
    </w:rPr>
  </w:style>
  <w:style w:type="paragraph" w:styleId="22">
    <w:name w:val="List Paragraph"/>
    <w:basedOn w:val="1"/>
    <w:unhideWhenUsed/>
    <w:qFormat/>
    <w:uiPriority w:val="99"/>
    <w:pPr>
      <w:ind w:firstLine="420" w:firstLineChars="200"/>
    </w:p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页眉 字符"/>
    <w:basedOn w:val="18"/>
    <w:link w:val="12"/>
    <w:qFormat/>
    <w:uiPriority w:val="0"/>
    <w:rPr>
      <w:kern w:val="2"/>
      <w:sz w:val="18"/>
      <w:szCs w:val="18"/>
    </w:rPr>
  </w:style>
  <w:style w:type="character" w:customStyle="1" w:styleId="25">
    <w:name w:val="页脚 字符"/>
    <w:basedOn w:val="18"/>
    <w:link w:val="11"/>
    <w:qFormat/>
    <w:uiPriority w:val="0"/>
    <w:rPr>
      <w:kern w:val="2"/>
      <w:sz w:val="18"/>
      <w:szCs w:val="18"/>
    </w:rPr>
  </w:style>
  <w:style w:type="paragraph" w:customStyle="1" w:styleId="26">
    <w:name w:val="楷体粗正文文字"/>
    <w:basedOn w:val="1"/>
    <w:next w:val="13"/>
    <w:autoRedefine/>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17</Pages>
  <Words>8731</Words>
  <Characters>8971</Characters>
  <Lines>297</Lines>
  <Paragraphs>450</Paragraphs>
  <TotalTime>1</TotalTime>
  <ScaleCrop>false</ScaleCrop>
  <LinksUpToDate>false</LinksUpToDate>
  <CharactersWithSpaces>9077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2025-04-15T04:08:00Z</dcterms:created>
  <dc:creator></dc:creator>
  <cp:lastModifiedBy></cp:lastModifiedBy>
  <dcterms:modified xsi:type="dcterms:W3CDTF">2025-08-20T03:59:26Z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C76250011C5243B0A2F25437AF73A7B5_13</vt:lpwstr>
  </property>
  <property fmtid="{D5CDD505-2E9C-101B-9397-08002B2CF9AE}" pid="4" name="KSOTemplateDocerSaveRecord">
    <vt:lpwstr>eyJoZGlkIjoiZWEzMjBkYzQ0YmNjYTVmYzc4NDMzYjZjZGZiNjUyOTEiLCJ1c2VySWQiOiI2NjI1OTUwNjcifQ==</vt:lpwstr>
  </property>
</Properties>
</file>