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B53AF">
      <w:pPr>
        <w:spacing w:before="156" w:after="156"/>
        <w:jc w:val="center"/>
        <w:rPr>
          <w:rFonts w:hint="eastAsia"/>
          <w:b/>
          <w:bCs/>
          <w:kern w:val="2"/>
          <w:sz w:val="22"/>
          <w:szCs w:val="22"/>
          <w:lang w:val="en-US" w:eastAsia="zh-CN"/>
        </w:rPr>
      </w:pPr>
    </w:p>
    <w:tbl>
      <w:tblPr>
        <w:tblStyle w:val="4"/>
        <w:tblW w:w="10040"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932"/>
        <w:gridCol w:w="6579"/>
        <w:gridCol w:w="849"/>
      </w:tblGrid>
      <w:tr w14:paraId="6CC88C9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0040" w:type="dxa"/>
            <w:gridSpan w:val="4"/>
            <w:tcBorders>
              <w:bottom w:val="single" w:color="auto" w:sz="4" w:space="0"/>
            </w:tcBorders>
            <w:vAlign w:val="center"/>
          </w:tcPr>
          <w:p w14:paraId="304766E2">
            <w:pPr>
              <w:spacing w:before="156" w:after="156"/>
              <w:jc w:val="center"/>
              <w:rPr>
                <w:rFonts w:hint="default" w:eastAsiaTheme="minorEastAsia"/>
                <w:b/>
                <w:bCs/>
                <w:kern w:val="2"/>
                <w:sz w:val="22"/>
                <w:szCs w:val="22"/>
                <w:lang w:val="en-US" w:eastAsia="zh-CN"/>
              </w:rPr>
            </w:pPr>
            <w:r>
              <w:rPr>
                <w:rFonts w:hint="eastAsia"/>
                <w:b/>
                <w:bCs/>
                <w:kern w:val="2"/>
                <w:sz w:val="22"/>
                <w:szCs w:val="22"/>
                <w:lang w:val="en-US" w:eastAsia="zh-CN"/>
              </w:rPr>
              <w:t>评分标准</w:t>
            </w:r>
          </w:p>
        </w:tc>
      </w:tr>
      <w:tr w14:paraId="4A3146C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9" w:hRule="atLeast"/>
          <w:jc w:val="center"/>
        </w:trPr>
        <w:tc>
          <w:tcPr>
            <w:tcW w:w="680" w:type="dxa"/>
            <w:tcBorders>
              <w:top w:val="single" w:color="auto" w:sz="4" w:space="0"/>
              <w:left w:val="single" w:color="auto" w:sz="4" w:space="0"/>
            </w:tcBorders>
            <w:vAlign w:val="center"/>
          </w:tcPr>
          <w:p w14:paraId="5001F9E6">
            <w:pPr>
              <w:spacing w:before="156" w:after="156"/>
              <w:jc w:val="center"/>
              <w:rPr>
                <w:bCs/>
                <w:kern w:val="2"/>
                <w:sz w:val="22"/>
                <w:szCs w:val="22"/>
              </w:rPr>
            </w:pPr>
            <w:r>
              <w:rPr>
                <w:rFonts w:hint="eastAsia"/>
                <w:bCs/>
                <w:kern w:val="2"/>
                <w:sz w:val="22"/>
                <w:szCs w:val="22"/>
              </w:rPr>
              <w:t>1</w:t>
            </w:r>
          </w:p>
        </w:tc>
        <w:tc>
          <w:tcPr>
            <w:tcW w:w="1932" w:type="dxa"/>
            <w:tcBorders>
              <w:top w:val="single" w:color="auto" w:sz="4" w:space="0"/>
            </w:tcBorders>
            <w:vAlign w:val="center"/>
          </w:tcPr>
          <w:p w14:paraId="58C0CF45">
            <w:pPr>
              <w:spacing w:before="156" w:after="156"/>
              <w:jc w:val="center"/>
              <w:rPr>
                <w:rFonts w:hint="eastAsia" w:eastAsiaTheme="minorEastAsia"/>
                <w:bCs/>
                <w:kern w:val="2"/>
                <w:sz w:val="22"/>
                <w:szCs w:val="22"/>
                <w:lang w:eastAsia="zh-CN"/>
              </w:rPr>
            </w:pPr>
            <w:r>
              <w:rPr>
                <w:rFonts w:hint="eastAsia"/>
                <w:bCs/>
                <w:kern w:val="2"/>
                <w:sz w:val="22"/>
                <w:szCs w:val="22"/>
                <w:lang w:val="en-US" w:eastAsia="zh-CN"/>
              </w:rPr>
              <w:t>综合实力</w:t>
            </w:r>
          </w:p>
        </w:tc>
        <w:tc>
          <w:tcPr>
            <w:tcW w:w="6579" w:type="dxa"/>
            <w:tcBorders>
              <w:top w:val="single" w:color="auto" w:sz="4" w:space="0"/>
            </w:tcBorders>
            <w:vAlign w:val="center"/>
          </w:tcPr>
          <w:p w14:paraId="56F3FBB4">
            <w:pPr>
              <w:spacing w:line="360" w:lineRule="auto"/>
              <w:rPr>
                <w:rFonts w:hint="default" w:eastAsiaTheme="minorEastAsia"/>
                <w:kern w:val="2"/>
                <w:sz w:val="22"/>
                <w:szCs w:val="22"/>
                <w:lang w:val="en-US" w:eastAsia="zh-CN"/>
              </w:rPr>
            </w:pPr>
            <w:r>
              <w:rPr>
                <w:rFonts w:hint="eastAsia"/>
                <w:kern w:val="2"/>
                <w:sz w:val="22"/>
                <w:szCs w:val="22"/>
                <w:lang w:val="en-US" w:eastAsia="zh-CN"/>
              </w:rPr>
              <w:t>1.</w:t>
            </w:r>
            <w:r>
              <w:rPr>
                <w:rFonts w:hint="eastAsia"/>
                <w:kern w:val="2"/>
                <w:sz w:val="22"/>
                <w:szCs w:val="22"/>
              </w:rPr>
              <w:t>投标人应在</w:t>
            </w:r>
            <w:r>
              <w:rPr>
                <w:rFonts w:hint="eastAsia"/>
                <w:kern w:val="2"/>
                <w:sz w:val="22"/>
                <w:szCs w:val="22"/>
                <w:lang w:eastAsia="zh-CN"/>
              </w:rPr>
              <w:t>海南</w:t>
            </w:r>
            <w:r>
              <w:rPr>
                <w:rFonts w:hint="eastAsia"/>
                <w:kern w:val="2"/>
                <w:sz w:val="22"/>
                <w:szCs w:val="22"/>
              </w:rPr>
              <w:t>省市场监督管理局完成备案，符合《计量法》、《</w:t>
            </w:r>
            <w:r>
              <w:rPr>
                <w:rFonts w:hint="eastAsia"/>
                <w:kern w:val="2"/>
                <w:sz w:val="22"/>
                <w:szCs w:val="22"/>
                <w:lang w:val="en-US" w:eastAsia="zh-CN"/>
              </w:rPr>
              <w:t>海南</w:t>
            </w:r>
            <w:r>
              <w:rPr>
                <w:rFonts w:hint="eastAsia"/>
                <w:kern w:val="2"/>
                <w:sz w:val="22"/>
                <w:szCs w:val="22"/>
              </w:rPr>
              <w:t>省计量管理条例》等的法制要求</w:t>
            </w:r>
            <w:r>
              <w:rPr>
                <w:rFonts w:hint="eastAsia"/>
                <w:kern w:val="2"/>
                <w:sz w:val="22"/>
                <w:szCs w:val="22"/>
                <w:lang w:eastAsia="zh-CN"/>
              </w:rPr>
              <w:t>，</w:t>
            </w:r>
            <w:r>
              <w:rPr>
                <w:rFonts w:hint="eastAsia"/>
                <w:kern w:val="2"/>
                <w:sz w:val="22"/>
                <w:szCs w:val="22"/>
              </w:rPr>
              <w:t>可在本省范围内开展计量检测业务</w:t>
            </w:r>
            <w:r>
              <w:rPr>
                <w:rFonts w:hint="eastAsia"/>
                <w:kern w:val="2"/>
                <w:sz w:val="22"/>
                <w:szCs w:val="22"/>
                <w:lang w:val="en-US" w:eastAsia="zh-CN"/>
              </w:rPr>
              <w:t xml:space="preserve">    10分</w:t>
            </w:r>
          </w:p>
          <w:p w14:paraId="75DC0C85">
            <w:pPr>
              <w:spacing w:line="360" w:lineRule="auto"/>
              <w:rPr>
                <w:rFonts w:hint="default" w:eastAsiaTheme="minorEastAsia"/>
                <w:kern w:val="2"/>
                <w:sz w:val="22"/>
                <w:szCs w:val="22"/>
                <w:lang w:val="en-US" w:eastAsia="zh-CN"/>
              </w:rPr>
            </w:pPr>
            <w:r>
              <w:rPr>
                <w:rFonts w:hint="eastAsia"/>
                <w:kern w:val="2"/>
                <w:sz w:val="22"/>
                <w:szCs w:val="22"/>
                <w:lang w:val="en-US" w:eastAsia="zh-CN"/>
              </w:rPr>
              <w:t>2.</w:t>
            </w:r>
            <w:r>
              <w:rPr>
                <w:rFonts w:hint="eastAsia"/>
                <w:kern w:val="2"/>
                <w:sz w:val="22"/>
                <w:szCs w:val="22"/>
              </w:rPr>
              <w:t>取得相应项目的检定、校准资质，获得在市级及以上计量行政部门授权</w:t>
            </w:r>
            <w:r>
              <w:rPr>
                <w:rFonts w:hint="eastAsia"/>
                <w:kern w:val="2"/>
                <w:sz w:val="22"/>
                <w:szCs w:val="22"/>
                <w:lang w:val="en-US" w:eastAsia="zh-CN"/>
              </w:rPr>
              <w:t xml:space="preserve">   8分</w:t>
            </w:r>
          </w:p>
          <w:p w14:paraId="5882AEE5">
            <w:pPr>
              <w:spacing w:line="360" w:lineRule="auto"/>
              <w:rPr>
                <w:rFonts w:hint="default" w:eastAsiaTheme="minorEastAsia"/>
                <w:kern w:val="2"/>
                <w:sz w:val="22"/>
                <w:szCs w:val="22"/>
                <w:lang w:val="en-US" w:eastAsia="zh-CN"/>
              </w:rPr>
            </w:pPr>
            <w:r>
              <w:rPr>
                <w:rFonts w:hint="eastAsia"/>
                <w:kern w:val="2"/>
                <w:sz w:val="22"/>
                <w:szCs w:val="22"/>
                <w:lang w:val="en-US" w:eastAsia="zh-CN"/>
              </w:rPr>
              <w:t>3.</w:t>
            </w:r>
            <w:r>
              <w:rPr>
                <w:rFonts w:hint="eastAsia"/>
                <w:kern w:val="2"/>
                <w:sz w:val="22"/>
                <w:szCs w:val="22"/>
              </w:rPr>
              <w:t>校准检测项目应建立计量标准或国家实验室认可(CNAS)</w:t>
            </w:r>
            <w:r>
              <w:rPr>
                <w:rFonts w:hint="eastAsia"/>
                <w:kern w:val="2"/>
                <w:sz w:val="22"/>
                <w:szCs w:val="22"/>
                <w:lang w:val="en-US" w:eastAsia="zh-CN"/>
              </w:rPr>
              <w:t xml:space="preserve">    6分     </w:t>
            </w:r>
          </w:p>
          <w:p w14:paraId="6E63D9AB">
            <w:pPr>
              <w:spacing w:line="360" w:lineRule="auto"/>
              <w:rPr>
                <w:rFonts w:hint="eastAsia" w:eastAsiaTheme="minorEastAsia"/>
                <w:kern w:val="2"/>
                <w:sz w:val="22"/>
                <w:szCs w:val="22"/>
                <w:lang w:val="en-US" w:eastAsia="zh-CN"/>
              </w:rPr>
            </w:pPr>
            <w:r>
              <w:rPr>
                <w:rFonts w:hint="eastAsia"/>
                <w:kern w:val="2"/>
                <w:sz w:val="22"/>
                <w:szCs w:val="22"/>
                <w:lang w:val="en-US" w:eastAsia="zh-CN"/>
              </w:rPr>
              <w:t>4.</w:t>
            </w:r>
            <w:r>
              <w:rPr>
                <w:rFonts w:hint="eastAsia"/>
                <w:kern w:val="2"/>
                <w:sz w:val="22"/>
                <w:szCs w:val="22"/>
              </w:rPr>
              <w:t>检测项目应通过检验检测机构资质认定(CMA)</w:t>
            </w:r>
            <w:r>
              <w:rPr>
                <w:rFonts w:hint="eastAsia"/>
                <w:kern w:val="2"/>
                <w:sz w:val="22"/>
                <w:szCs w:val="22"/>
                <w:lang w:val="en-US" w:eastAsia="zh-CN"/>
              </w:rPr>
              <w:t xml:space="preserve">            6分</w:t>
            </w:r>
          </w:p>
          <w:p w14:paraId="4127D976">
            <w:pPr>
              <w:spacing w:line="360" w:lineRule="auto"/>
              <w:rPr>
                <w:kern w:val="2"/>
                <w:sz w:val="22"/>
                <w:szCs w:val="22"/>
              </w:rPr>
            </w:pPr>
            <w:r>
              <w:rPr>
                <w:rFonts w:hint="eastAsia"/>
                <w:kern w:val="2"/>
                <w:sz w:val="22"/>
                <w:szCs w:val="22"/>
              </w:rPr>
              <w:t>(以上证书须在有效期内，提供证书复印件以及中国国家认证认可监督管理委员会网站查询截图证明材料，不提供不得分。)</w:t>
            </w:r>
          </w:p>
        </w:tc>
        <w:tc>
          <w:tcPr>
            <w:tcW w:w="849" w:type="dxa"/>
            <w:tcBorders>
              <w:top w:val="single" w:color="auto" w:sz="4" w:space="0"/>
              <w:right w:val="single" w:color="auto" w:sz="4" w:space="0"/>
            </w:tcBorders>
            <w:vAlign w:val="center"/>
          </w:tcPr>
          <w:p w14:paraId="09F62B3D">
            <w:pPr>
              <w:pStyle w:val="3"/>
              <w:widowControl/>
              <w:spacing w:before="100" w:beforeAutospacing="0" w:after="0"/>
              <w:ind w:left="0" w:leftChars="0"/>
              <w:jc w:val="center"/>
              <w:rPr>
                <w:rFonts w:ascii="宋体" w:hAnsi="宋体" w:cs="宋体"/>
                <w:sz w:val="22"/>
                <w:szCs w:val="22"/>
              </w:rPr>
            </w:pPr>
            <w:r>
              <w:rPr>
                <w:rFonts w:hint="eastAsia" w:ascii="宋体" w:hAnsi="宋体" w:cs="宋体"/>
                <w:bCs/>
                <w:sz w:val="22"/>
                <w:szCs w:val="22"/>
                <w:lang w:val="en-US" w:eastAsia="zh-CN"/>
              </w:rPr>
              <w:t>30</w:t>
            </w:r>
            <w:r>
              <w:rPr>
                <w:rFonts w:hint="eastAsia" w:ascii="宋体" w:hAnsi="宋体" w:cs="宋体"/>
                <w:bCs/>
                <w:sz w:val="22"/>
                <w:szCs w:val="22"/>
              </w:rPr>
              <w:t>分</w:t>
            </w:r>
          </w:p>
        </w:tc>
      </w:tr>
      <w:tr w14:paraId="533BFF4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tcBorders>
              <w:left w:val="single" w:color="auto" w:sz="4" w:space="0"/>
            </w:tcBorders>
            <w:vAlign w:val="center"/>
          </w:tcPr>
          <w:p w14:paraId="7DB311CB">
            <w:pPr>
              <w:spacing w:before="156" w:after="156"/>
              <w:jc w:val="center"/>
              <w:rPr>
                <w:bCs/>
                <w:kern w:val="2"/>
                <w:sz w:val="22"/>
                <w:szCs w:val="22"/>
              </w:rPr>
            </w:pPr>
            <w:r>
              <w:rPr>
                <w:rFonts w:hint="eastAsia"/>
                <w:bCs/>
                <w:kern w:val="2"/>
                <w:sz w:val="22"/>
                <w:szCs w:val="22"/>
              </w:rPr>
              <w:t>2</w:t>
            </w:r>
          </w:p>
        </w:tc>
        <w:tc>
          <w:tcPr>
            <w:tcW w:w="1932" w:type="dxa"/>
            <w:vAlign w:val="center"/>
          </w:tcPr>
          <w:p w14:paraId="4C6124A6">
            <w:pPr>
              <w:spacing w:before="156" w:after="156"/>
              <w:jc w:val="center"/>
              <w:rPr>
                <w:bCs/>
                <w:kern w:val="2"/>
                <w:sz w:val="22"/>
                <w:szCs w:val="22"/>
              </w:rPr>
            </w:pPr>
            <w:r>
              <w:rPr>
                <w:rFonts w:hint="eastAsia"/>
                <w:kern w:val="2"/>
                <w:sz w:val="22"/>
                <w:szCs w:val="22"/>
              </w:rPr>
              <w:t>类似业绩</w:t>
            </w:r>
          </w:p>
        </w:tc>
        <w:tc>
          <w:tcPr>
            <w:tcW w:w="6579" w:type="dxa"/>
            <w:vAlign w:val="center"/>
          </w:tcPr>
          <w:p w14:paraId="0273A1A1">
            <w:pPr>
              <w:keepNext w:val="0"/>
              <w:keepLines w:val="0"/>
              <w:pageBreakBefore w:val="0"/>
              <w:widowControl w:val="0"/>
              <w:kinsoku/>
              <w:wordWrap/>
              <w:overflowPunct/>
              <w:topLinePunct w:val="0"/>
              <w:autoSpaceDE w:val="0"/>
              <w:autoSpaceDN w:val="0"/>
              <w:bidi w:val="0"/>
              <w:adjustRightInd/>
              <w:spacing w:before="156" w:after="156" w:line="360" w:lineRule="auto"/>
              <w:textAlignment w:val="auto"/>
              <w:rPr>
                <w:kern w:val="2"/>
                <w:sz w:val="22"/>
                <w:szCs w:val="22"/>
              </w:rPr>
            </w:pPr>
            <w:r>
              <w:rPr>
                <w:rFonts w:hint="eastAsia"/>
                <w:kern w:val="2"/>
                <w:sz w:val="22"/>
                <w:szCs w:val="22"/>
              </w:rPr>
              <w:t>20</w:t>
            </w:r>
            <w:r>
              <w:rPr>
                <w:rFonts w:hint="eastAsia"/>
                <w:kern w:val="2"/>
                <w:sz w:val="22"/>
                <w:szCs w:val="22"/>
                <w:lang w:val="en-US"/>
              </w:rPr>
              <w:t>2</w:t>
            </w:r>
            <w:r>
              <w:rPr>
                <w:rFonts w:hint="eastAsia"/>
                <w:kern w:val="2"/>
                <w:sz w:val="22"/>
                <w:szCs w:val="22"/>
                <w:lang w:val="en-US" w:eastAsia="zh-CN"/>
              </w:rPr>
              <w:t>0</w:t>
            </w:r>
            <w:r>
              <w:rPr>
                <w:rFonts w:hint="eastAsia"/>
                <w:kern w:val="2"/>
                <w:sz w:val="22"/>
                <w:szCs w:val="22"/>
              </w:rPr>
              <w:t>年1月1日至今具有</w:t>
            </w:r>
            <w:r>
              <w:rPr>
                <w:rFonts w:hint="eastAsia"/>
                <w:kern w:val="2"/>
                <w:sz w:val="22"/>
                <w:szCs w:val="22"/>
                <w:lang w:val="en-US" w:eastAsia="zh-CN"/>
              </w:rPr>
              <w:t>完成过或正在履约的三甲医院的项目业绩</w:t>
            </w:r>
            <w:r>
              <w:rPr>
                <w:rFonts w:hint="eastAsia"/>
                <w:kern w:val="2"/>
                <w:sz w:val="22"/>
                <w:szCs w:val="22"/>
              </w:rPr>
              <w:t>，每提供1份合同得</w:t>
            </w:r>
            <w:r>
              <w:rPr>
                <w:rFonts w:hint="eastAsia"/>
                <w:kern w:val="2"/>
                <w:sz w:val="22"/>
                <w:szCs w:val="22"/>
                <w:lang w:val="en-US" w:eastAsia="zh-CN"/>
              </w:rPr>
              <w:t>5</w:t>
            </w:r>
            <w:r>
              <w:rPr>
                <w:rFonts w:hint="eastAsia"/>
                <w:kern w:val="2"/>
                <w:sz w:val="22"/>
                <w:szCs w:val="22"/>
              </w:rPr>
              <w:t>分，本项满分</w:t>
            </w:r>
            <w:r>
              <w:rPr>
                <w:rFonts w:hint="eastAsia"/>
                <w:kern w:val="2"/>
                <w:sz w:val="22"/>
                <w:szCs w:val="22"/>
                <w:lang w:val="en-US" w:eastAsia="zh-CN"/>
              </w:rPr>
              <w:t>20</w:t>
            </w:r>
            <w:r>
              <w:rPr>
                <w:rFonts w:hint="eastAsia"/>
                <w:kern w:val="2"/>
                <w:sz w:val="22"/>
                <w:szCs w:val="22"/>
              </w:rPr>
              <w:t>分。</w:t>
            </w:r>
          </w:p>
          <w:p w14:paraId="16F21EF7">
            <w:pPr>
              <w:spacing w:line="360" w:lineRule="auto"/>
              <w:rPr>
                <w:kern w:val="2"/>
                <w:sz w:val="22"/>
                <w:szCs w:val="22"/>
                <w:lang w:val="en-US"/>
              </w:rPr>
            </w:pPr>
            <w:r>
              <w:rPr>
                <w:rFonts w:hint="eastAsia"/>
                <w:kern w:val="2"/>
                <w:sz w:val="22"/>
                <w:szCs w:val="22"/>
              </w:rPr>
              <w:t>证明材料：</w:t>
            </w:r>
            <w:r>
              <w:rPr>
                <w:rFonts w:hint="eastAsia"/>
                <w:kern w:val="2"/>
                <w:sz w:val="22"/>
                <w:szCs w:val="22"/>
                <w:lang w:val="en-US" w:eastAsia="zh-CN"/>
              </w:rPr>
              <w:t>以合同签订时间为准，</w:t>
            </w:r>
            <w:r>
              <w:rPr>
                <w:rFonts w:hint="eastAsia"/>
                <w:kern w:val="2"/>
                <w:sz w:val="22"/>
                <w:szCs w:val="22"/>
              </w:rPr>
              <w:t>提供合同复印件加盖公章，未提供不得分。</w:t>
            </w:r>
          </w:p>
        </w:tc>
        <w:tc>
          <w:tcPr>
            <w:tcW w:w="849" w:type="dxa"/>
            <w:tcBorders>
              <w:right w:val="single" w:color="auto" w:sz="4" w:space="0"/>
            </w:tcBorders>
            <w:vAlign w:val="center"/>
          </w:tcPr>
          <w:p w14:paraId="7608DD17">
            <w:pPr>
              <w:widowControl/>
              <w:spacing w:line="440" w:lineRule="exact"/>
              <w:jc w:val="center"/>
              <w:rPr>
                <w:kern w:val="2"/>
                <w:sz w:val="22"/>
                <w:szCs w:val="22"/>
              </w:rPr>
            </w:pPr>
            <w:r>
              <w:rPr>
                <w:rFonts w:hint="eastAsia"/>
                <w:bCs/>
                <w:kern w:val="2"/>
                <w:sz w:val="22"/>
                <w:szCs w:val="22"/>
                <w:lang w:val="en-US" w:eastAsia="zh-CN"/>
              </w:rPr>
              <w:t>20</w:t>
            </w:r>
            <w:r>
              <w:rPr>
                <w:rFonts w:hint="eastAsia"/>
                <w:bCs/>
                <w:kern w:val="2"/>
                <w:sz w:val="22"/>
                <w:szCs w:val="22"/>
                <w:lang w:val="en-US"/>
              </w:rPr>
              <w:t>分</w:t>
            </w:r>
          </w:p>
        </w:tc>
      </w:tr>
      <w:tr w14:paraId="2A4A397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80" w:type="dxa"/>
            <w:tcBorders>
              <w:left w:val="single" w:color="auto" w:sz="4" w:space="0"/>
            </w:tcBorders>
            <w:vAlign w:val="center"/>
          </w:tcPr>
          <w:p w14:paraId="587D6EEC">
            <w:pPr>
              <w:spacing w:before="156" w:after="156"/>
              <w:jc w:val="center"/>
              <w:rPr>
                <w:bCs/>
                <w:kern w:val="2"/>
                <w:sz w:val="22"/>
                <w:szCs w:val="22"/>
                <w:lang w:val="en-US"/>
              </w:rPr>
            </w:pPr>
            <w:r>
              <w:rPr>
                <w:rFonts w:hint="eastAsia"/>
                <w:bCs/>
                <w:kern w:val="2"/>
                <w:sz w:val="22"/>
                <w:szCs w:val="22"/>
                <w:lang w:val="en-US"/>
              </w:rPr>
              <w:t>3</w:t>
            </w:r>
          </w:p>
        </w:tc>
        <w:tc>
          <w:tcPr>
            <w:tcW w:w="1932" w:type="dxa"/>
            <w:vAlign w:val="center"/>
          </w:tcPr>
          <w:p w14:paraId="51E2BACF">
            <w:pPr>
              <w:spacing w:line="360" w:lineRule="auto"/>
              <w:jc w:val="center"/>
              <w:rPr>
                <w:rFonts w:hint="default"/>
                <w:bCs/>
                <w:kern w:val="2"/>
                <w:sz w:val="22"/>
                <w:szCs w:val="22"/>
                <w:lang w:val="en-US"/>
              </w:rPr>
            </w:pPr>
            <w:r>
              <w:rPr>
                <w:rFonts w:hint="eastAsia"/>
                <w:kern w:val="2"/>
                <w:sz w:val="22"/>
                <w:szCs w:val="22"/>
                <w:lang w:val="en-US" w:eastAsia="zh-CN"/>
              </w:rPr>
              <w:t>团队配备</w:t>
            </w:r>
          </w:p>
        </w:tc>
        <w:tc>
          <w:tcPr>
            <w:tcW w:w="6579" w:type="dxa"/>
            <w:vAlign w:val="center"/>
          </w:tcPr>
          <w:p w14:paraId="035B61F2">
            <w:pPr>
              <w:spacing w:before="156" w:after="156"/>
              <w:rPr>
                <w:rFonts w:hint="default"/>
                <w:kern w:val="2"/>
                <w:sz w:val="22"/>
                <w:szCs w:val="22"/>
                <w:lang w:val="en-US" w:eastAsia="zh-CN"/>
              </w:rPr>
            </w:pPr>
            <w:r>
              <w:rPr>
                <w:rFonts w:hint="default"/>
                <w:kern w:val="2"/>
                <w:sz w:val="22"/>
                <w:szCs w:val="22"/>
                <w:lang w:val="en-US" w:eastAsia="zh-CN"/>
              </w:rPr>
              <w:t>1.拟投入本项目的服务团队人员</w:t>
            </w:r>
            <w:r>
              <w:rPr>
                <w:rFonts w:hint="default" w:ascii="Arial" w:hAnsi="Arial" w:cs="Arial"/>
                <w:kern w:val="2"/>
                <w:sz w:val="22"/>
                <w:szCs w:val="22"/>
                <w:lang w:val="en-US" w:eastAsia="zh-CN"/>
              </w:rPr>
              <w:t>≥</w:t>
            </w:r>
            <w:r>
              <w:rPr>
                <w:rFonts w:hint="default"/>
                <w:kern w:val="2"/>
                <w:sz w:val="22"/>
                <w:szCs w:val="22"/>
                <w:lang w:val="en-US" w:eastAsia="zh-CN"/>
              </w:rPr>
              <w:t>8人，得</w:t>
            </w:r>
            <w:r>
              <w:rPr>
                <w:rFonts w:hint="eastAsia"/>
                <w:kern w:val="2"/>
                <w:sz w:val="22"/>
                <w:szCs w:val="22"/>
                <w:lang w:val="en-US" w:eastAsia="zh-CN"/>
              </w:rPr>
              <w:t>3</w:t>
            </w:r>
            <w:r>
              <w:rPr>
                <w:rFonts w:hint="default"/>
                <w:kern w:val="2"/>
                <w:sz w:val="22"/>
                <w:szCs w:val="22"/>
                <w:lang w:val="en-US" w:eastAsia="zh-CN"/>
              </w:rPr>
              <w:t>分。每增加</w:t>
            </w:r>
            <w:r>
              <w:rPr>
                <w:rFonts w:hint="eastAsia"/>
                <w:kern w:val="2"/>
                <w:sz w:val="22"/>
                <w:szCs w:val="22"/>
                <w:lang w:val="en-US" w:eastAsia="zh-CN"/>
              </w:rPr>
              <w:t>2</w:t>
            </w:r>
            <w:r>
              <w:rPr>
                <w:rFonts w:hint="default"/>
                <w:kern w:val="2"/>
                <w:sz w:val="22"/>
                <w:szCs w:val="22"/>
                <w:lang w:val="en-US" w:eastAsia="zh-CN"/>
              </w:rPr>
              <w:t>人得</w:t>
            </w:r>
            <w:r>
              <w:rPr>
                <w:rFonts w:hint="eastAsia"/>
                <w:kern w:val="2"/>
                <w:sz w:val="22"/>
                <w:szCs w:val="22"/>
                <w:lang w:val="en-US" w:eastAsia="zh-CN"/>
              </w:rPr>
              <w:t>1</w:t>
            </w:r>
            <w:r>
              <w:rPr>
                <w:rFonts w:hint="default"/>
                <w:kern w:val="2"/>
                <w:sz w:val="22"/>
                <w:szCs w:val="22"/>
                <w:lang w:val="en-US" w:eastAsia="zh-CN"/>
              </w:rPr>
              <w:t>分，本项最高</w:t>
            </w:r>
            <w:r>
              <w:rPr>
                <w:rFonts w:hint="eastAsia"/>
                <w:kern w:val="2"/>
                <w:sz w:val="22"/>
                <w:szCs w:val="22"/>
                <w:lang w:val="en-US" w:eastAsia="zh-CN"/>
              </w:rPr>
              <w:t>6</w:t>
            </w:r>
            <w:r>
              <w:rPr>
                <w:rFonts w:hint="default"/>
                <w:kern w:val="2"/>
                <w:sz w:val="22"/>
                <w:szCs w:val="22"/>
                <w:lang w:val="en-US" w:eastAsia="zh-CN"/>
              </w:rPr>
              <w:t>分。</w:t>
            </w:r>
          </w:p>
          <w:p w14:paraId="2E17A6EF">
            <w:pPr>
              <w:spacing w:before="156" w:after="156"/>
              <w:rPr>
                <w:rFonts w:hint="default"/>
                <w:kern w:val="2"/>
                <w:sz w:val="22"/>
                <w:szCs w:val="22"/>
                <w:lang w:val="en-US" w:eastAsia="zh-CN"/>
              </w:rPr>
            </w:pPr>
            <w:r>
              <w:rPr>
                <w:rFonts w:hint="default"/>
                <w:kern w:val="2"/>
                <w:sz w:val="22"/>
                <w:szCs w:val="22"/>
                <w:lang w:val="en-US" w:eastAsia="zh-CN"/>
              </w:rPr>
              <w:t>(社保证明及从业证明等相关材料。)</w:t>
            </w:r>
          </w:p>
          <w:p w14:paraId="1A107561">
            <w:pPr>
              <w:spacing w:before="156" w:after="156"/>
              <w:rPr>
                <w:rFonts w:hint="default"/>
                <w:kern w:val="2"/>
                <w:sz w:val="22"/>
                <w:szCs w:val="22"/>
                <w:lang w:val="en-US" w:eastAsia="zh-CN"/>
              </w:rPr>
            </w:pPr>
            <w:r>
              <w:rPr>
                <w:rFonts w:hint="default"/>
                <w:kern w:val="2"/>
                <w:sz w:val="22"/>
                <w:szCs w:val="22"/>
                <w:lang w:val="en-US" w:eastAsia="zh-CN"/>
              </w:rPr>
              <w:t>2.拟投入本项目的服务团队人员具备一级注册计量师，每增加1人，得</w:t>
            </w:r>
            <w:r>
              <w:rPr>
                <w:rFonts w:hint="eastAsia"/>
                <w:kern w:val="2"/>
                <w:sz w:val="22"/>
                <w:szCs w:val="22"/>
                <w:lang w:val="en-US" w:eastAsia="zh-CN"/>
              </w:rPr>
              <w:t>1.2</w:t>
            </w:r>
            <w:r>
              <w:rPr>
                <w:rFonts w:hint="default"/>
                <w:kern w:val="2"/>
                <w:sz w:val="22"/>
                <w:szCs w:val="22"/>
                <w:lang w:val="en-US" w:eastAsia="zh-CN"/>
              </w:rPr>
              <w:t>分，本项最高</w:t>
            </w:r>
            <w:r>
              <w:rPr>
                <w:rFonts w:hint="eastAsia"/>
                <w:kern w:val="2"/>
                <w:sz w:val="22"/>
                <w:szCs w:val="22"/>
                <w:lang w:val="en-US" w:eastAsia="zh-CN"/>
              </w:rPr>
              <w:t>6</w:t>
            </w:r>
            <w:r>
              <w:rPr>
                <w:rFonts w:hint="default"/>
                <w:kern w:val="2"/>
                <w:sz w:val="22"/>
                <w:szCs w:val="22"/>
                <w:lang w:val="en-US" w:eastAsia="zh-CN"/>
              </w:rPr>
              <w:t>分。(提供资格证书、职称证书、社保证明及从业证明等相关材料。)</w:t>
            </w:r>
          </w:p>
          <w:p w14:paraId="6F341D3F">
            <w:pPr>
              <w:spacing w:before="156" w:after="156"/>
              <w:rPr>
                <w:rFonts w:hint="eastAsia"/>
                <w:kern w:val="2"/>
                <w:sz w:val="22"/>
                <w:szCs w:val="22"/>
                <w:lang w:val="en-US" w:eastAsia="zh-CN"/>
              </w:rPr>
            </w:pPr>
            <w:r>
              <w:rPr>
                <w:rFonts w:hint="default"/>
                <w:kern w:val="2"/>
                <w:sz w:val="22"/>
                <w:szCs w:val="22"/>
                <w:lang w:val="en-US" w:eastAsia="zh-CN"/>
              </w:rPr>
              <w:t>3.拟投入本项目的服务团队人员二级注册计量师每增加</w:t>
            </w:r>
            <w:r>
              <w:rPr>
                <w:rFonts w:hint="eastAsia"/>
                <w:kern w:val="2"/>
                <w:sz w:val="22"/>
                <w:szCs w:val="22"/>
                <w:lang w:val="en-US" w:eastAsia="zh-CN"/>
              </w:rPr>
              <w:t>1</w:t>
            </w:r>
            <w:r>
              <w:rPr>
                <w:rFonts w:hint="default"/>
                <w:kern w:val="2"/>
                <w:sz w:val="22"/>
                <w:szCs w:val="22"/>
                <w:lang w:val="en-US" w:eastAsia="zh-CN"/>
              </w:rPr>
              <w:t>人得</w:t>
            </w:r>
            <w:r>
              <w:rPr>
                <w:rFonts w:hint="eastAsia"/>
                <w:kern w:val="2"/>
                <w:sz w:val="22"/>
                <w:szCs w:val="22"/>
                <w:lang w:val="en-US" w:eastAsia="zh-CN"/>
              </w:rPr>
              <w:t>0.8</w:t>
            </w:r>
            <w:r>
              <w:rPr>
                <w:rFonts w:hint="default"/>
                <w:kern w:val="2"/>
                <w:sz w:val="22"/>
                <w:szCs w:val="22"/>
                <w:lang w:val="en-US" w:eastAsia="zh-CN"/>
              </w:rPr>
              <w:t>分，本项最高</w:t>
            </w:r>
            <w:r>
              <w:rPr>
                <w:rFonts w:hint="eastAsia"/>
                <w:kern w:val="2"/>
                <w:sz w:val="22"/>
                <w:szCs w:val="22"/>
                <w:lang w:val="en-US" w:eastAsia="zh-CN"/>
              </w:rPr>
              <w:t>4</w:t>
            </w:r>
            <w:r>
              <w:rPr>
                <w:rFonts w:hint="default"/>
                <w:kern w:val="2"/>
                <w:sz w:val="22"/>
                <w:szCs w:val="22"/>
                <w:lang w:val="en-US" w:eastAsia="zh-CN"/>
              </w:rPr>
              <w:t>分。(提供资格证书</w:t>
            </w:r>
            <w:r>
              <w:rPr>
                <w:rFonts w:hint="eastAsia"/>
                <w:kern w:val="2"/>
                <w:sz w:val="22"/>
                <w:szCs w:val="22"/>
                <w:lang w:val="en-US" w:eastAsia="zh-CN"/>
              </w:rPr>
              <w:t>）</w:t>
            </w:r>
          </w:p>
          <w:p w14:paraId="5FA20DC5">
            <w:pPr>
              <w:spacing w:before="156" w:after="156"/>
              <w:rPr>
                <w:kern w:val="2"/>
                <w:sz w:val="22"/>
                <w:szCs w:val="22"/>
              </w:rPr>
            </w:pPr>
            <w:r>
              <w:rPr>
                <w:rFonts w:hint="eastAsia"/>
                <w:kern w:val="2"/>
                <w:sz w:val="22"/>
                <w:szCs w:val="22"/>
                <w:lang w:val="en-US" w:eastAsia="zh-CN"/>
              </w:rPr>
              <w:t>4</w:t>
            </w:r>
            <w:r>
              <w:rPr>
                <w:rFonts w:hint="default"/>
                <w:kern w:val="2"/>
                <w:sz w:val="22"/>
                <w:szCs w:val="22"/>
                <w:lang w:val="en-US" w:eastAsia="zh-CN"/>
              </w:rPr>
              <w:t>.拟投入本项目的负责人具有一级注册计量师执业资格且具有中级及以上职称，同时具有从事医疗器具计量检定、校准行业5年及以上工作经验的得</w:t>
            </w:r>
            <w:r>
              <w:rPr>
                <w:rFonts w:hint="eastAsia"/>
                <w:kern w:val="2"/>
                <w:sz w:val="22"/>
                <w:szCs w:val="22"/>
                <w:lang w:val="en-US" w:eastAsia="zh-CN"/>
              </w:rPr>
              <w:t>4</w:t>
            </w:r>
            <w:r>
              <w:rPr>
                <w:rFonts w:hint="default"/>
                <w:kern w:val="2"/>
                <w:sz w:val="22"/>
                <w:szCs w:val="22"/>
                <w:lang w:val="en-US" w:eastAsia="zh-CN"/>
              </w:rPr>
              <w:t xml:space="preserve">分。(提供资格证书、职称证书、社保证明及从业证明等相关材料。) </w:t>
            </w:r>
          </w:p>
        </w:tc>
        <w:tc>
          <w:tcPr>
            <w:tcW w:w="849" w:type="dxa"/>
            <w:tcBorders>
              <w:right w:val="single" w:color="auto" w:sz="4" w:space="0"/>
            </w:tcBorders>
            <w:vAlign w:val="center"/>
          </w:tcPr>
          <w:p w14:paraId="7659A108">
            <w:pPr>
              <w:spacing w:line="360" w:lineRule="auto"/>
              <w:jc w:val="center"/>
              <w:textAlignment w:val="center"/>
              <w:rPr>
                <w:bCs/>
                <w:kern w:val="2"/>
                <w:sz w:val="22"/>
                <w:szCs w:val="22"/>
                <w:lang w:val="en-US"/>
              </w:rPr>
            </w:pPr>
            <w:r>
              <w:rPr>
                <w:rFonts w:hint="eastAsia"/>
                <w:color w:val="000000"/>
                <w:kern w:val="2"/>
                <w:sz w:val="22"/>
                <w:szCs w:val="22"/>
                <w:lang w:val="en-US" w:eastAsia="zh-CN"/>
              </w:rPr>
              <w:t>2</w:t>
            </w:r>
            <w:r>
              <w:rPr>
                <w:rFonts w:hint="eastAsia"/>
                <w:color w:val="000000"/>
                <w:kern w:val="2"/>
                <w:sz w:val="22"/>
                <w:szCs w:val="22"/>
                <w:lang w:val="en-US"/>
              </w:rPr>
              <w:t>0分</w:t>
            </w:r>
          </w:p>
        </w:tc>
      </w:tr>
      <w:tr w14:paraId="35F67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07297CAF">
            <w:pPr>
              <w:spacing w:before="156" w:after="156"/>
              <w:jc w:val="center"/>
              <w:rPr>
                <w:rFonts w:hint="default" w:eastAsia="宋体"/>
                <w:kern w:val="2"/>
                <w:sz w:val="22"/>
                <w:szCs w:val="22"/>
                <w:lang w:val="en-US" w:eastAsia="zh-CN"/>
              </w:rPr>
            </w:pPr>
            <w:r>
              <w:rPr>
                <w:rFonts w:hint="eastAsia"/>
                <w:kern w:val="2"/>
                <w:sz w:val="22"/>
                <w:szCs w:val="22"/>
                <w:lang w:val="en-US" w:eastAsia="zh-CN"/>
              </w:rPr>
              <w:t>4</w:t>
            </w:r>
          </w:p>
        </w:tc>
        <w:tc>
          <w:tcPr>
            <w:tcW w:w="1932" w:type="dxa"/>
            <w:tcBorders>
              <w:top w:val="single" w:color="auto" w:sz="4" w:space="0"/>
              <w:left w:val="single" w:color="auto" w:sz="4" w:space="0"/>
              <w:bottom w:val="single" w:color="auto" w:sz="4" w:space="0"/>
              <w:right w:val="single" w:color="auto" w:sz="4" w:space="0"/>
            </w:tcBorders>
            <w:vAlign w:val="center"/>
          </w:tcPr>
          <w:p w14:paraId="517312A4">
            <w:pPr>
              <w:spacing w:before="156" w:after="156"/>
              <w:jc w:val="center"/>
              <w:rPr>
                <w:kern w:val="2"/>
                <w:sz w:val="22"/>
                <w:szCs w:val="22"/>
                <w:lang w:val="en-US"/>
              </w:rPr>
            </w:pPr>
            <w:r>
              <w:rPr>
                <w:rFonts w:hint="eastAsia"/>
                <w:kern w:val="2"/>
                <w:sz w:val="22"/>
                <w:szCs w:val="22"/>
                <w:lang w:val="en-US"/>
              </w:rPr>
              <w:t>投标报价得分</w:t>
            </w:r>
          </w:p>
        </w:tc>
        <w:tc>
          <w:tcPr>
            <w:tcW w:w="6579" w:type="dxa"/>
            <w:tcBorders>
              <w:top w:val="single" w:color="auto" w:sz="4" w:space="0"/>
              <w:left w:val="single" w:color="auto" w:sz="4" w:space="0"/>
              <w:bottom w:val="single" w:color="auto" w:sz="4" w:space="0"/>
              <w:right w:val="single" w:color="auto" w:sz="4" w:space="0"/>
            </w:tcBorders>
            <w:vAlign w:val="center"/>
          </w:tcPr>
          <w:p w14:paraId="51FDF75D">
            <w:pPr>
              <w:snapToGrid w:val="0"/>
              <w:spacing w:before="156" w:after="156"/>
              <w:rPr>
                <w:kern w:val="2"/>
                <w:sz w:val="22"/>
                <w:szCs w:val="22"/>
              </w:rPr>
            </w:pPr>
            <w:r>
              <w:rPr>
                <w:rFonts w:hint="eastAsia"/>
                <w:kern w:val="2"/>
                <w:sz w:val="22"/>
                <w:szCs w:val="22"/>
              </w:rPr>
              <w:t>满足</w:t>
            </w:r>
            <w:r>
              <w:rPr>
                <w:rFonts w:hint="eastAsia"/>
                <w:kern w:val="2"/>
                <w:sz w:val="22"/>
                <w:szCs w:val="22"/>
                <w:lang w:val="en-US" w:eastAsia="zh-CN"/>
              </w:rPr>
              <w:t>调研</w:t>
            </w:r>
            <w:r>
              <w:rPr>
                <w:rFonts w:hint="eastAsia"/>
                <w:kern w:val="2"/>
                <w:sz w:val="22"/>
                <w:szCs w:val="22"/>
              </w:rPr>
              <w:t>文件要求且报价最低的报价为基准价，其价格分为满分。其他供应商的价格分统一按照下列公式计算：报价得分=(基准价／报价)* 30%*100</w:t>
            </w:r>
          </w:p>
        </w:tc>
        <w:tc>
          <w:tcPr>
            <w:tcW w:w="849" w:type="dxa"/>
            <w:tcBorders>
              <w:top w:val="single" w:color="auto" w:sz="4" w:space="0"/>
              <w:left w:val="single" w:color="auto" w:sz="4" w:space="0"/>
              <w:bottom w:val="single" w:color="auto" w:sz="4" w:space="0"/>
              <w:right w:val="single" w:color="auto" w:sz="4" w:space="0"/>
            </w:tcBorders>
            <w:vAlign w:val="center"/>
          </w:tcPr>
          <w:p w14:paraId="17D09F2D">
            <w:pPr>
              <w:spacing w:before="156" w:after="156"/>
              <w:jc w:val="center"/>
              <w:rPr>
                <w:bCs/>
                <w:kern w:val="2"/>
                <w:sz w:val="22"/>
                <w:szCs w:val="22"/>
              </w:rPr>
            </w:pPr>
            <w:r>
              <w:rPr>
                <w:rFonts w:hint="eastAsia"/>
                <w:bCs/>
                <w:kern w:val="2"/>
                <w:sz w:val="22"/>
                <w:szCs w:val="22"/>
                <w:lang w:val="en-US" w:eastAsia="zh-CN"/>
              </w:rPr>
              <w:t>30</w:t>
            </w:r>
            <w:r>
              <w:rPr>
                <w:rFonts w:hint="eastAsia"/>
                <w:bCs/>
                <w:kern w:val="2"/>
                <w:sz w:val="22"/>
                <w:szCs w:val="22"/>
              </w:rPr>
              <w:t>分</w:t>
            </w:r>
          </w:p>
        </w:tc>
      </w:tr>
    </w:tbl>
    <w:p w14:paraId="29412B62">
      <w:pPr>
        <w:rPr>
          <w:sz w:val="2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DdlYmEzMmEwMDdiNjY3ZDI4NzhmZWIzYTA2ODgifQ=="/>
  </w:docVars>
  <w:rsids>
    <w:rsidRoot w:val="0EC04440"/>
    <w:rsid w:val="037B1DF5"/>
    <w:rsid w:val="0AEB1631"/>
    <w:rsid w:val="0EC04440"/>
    <w:rsid w:val="19F04746"/>
    <w:rsid w:val="1E940045"/>
    <w:rsid w:val="2338130A"/>
    <w:rsid w:val="261753B8"/>
    <w:rsid w:val="2C52454D"/>
    <w:rsid w:val="3C543B60"/>
    <w:rsid w:val="406774D0"/>
    <w:rsid w:val="413146D6"/>
    <w:rsid w:val="49A55DC9"/>
    <w:rsid w:val="4AB97940"/>
    <w:rsid w:val="4B0853EA"/>
    <w:rsid w:val="5F3E282E"/>
    <w:rsid w:val="68AF6306"/>
    <w:rsid w:val="6F4D1369"/>
    <w:rsid w:val="7CAE6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1"/>
    <w:pPr>
      <w:spacing w:before="49"/>
      <w:jc w:val="center"/>
      <w:outlineLvl w:val="2"/>
    </w:pPr>
    <w:rPr>
      <w:b/>
      <w:bCs/>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spacing w:beforeAutospacing="1" w:after="120" w:line="480" w:lineRule="auto"/>
      <w:ind w:left="420" w:leftChars="200"/>
      <w:jc w:val="both"/>
    </w:pPr>
    <w:rPr>
      <w:rFonts w:ascii="Calibri" w:hAnsi="Calibri" w:cs="Times New Roman"/>
      <w:kern w:val="2"/>
      <w:sz w:val="21"/>
      <w:szCs w:val="21"/>
      <w:lang w:val="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642</Words>
  <Characters>681</Characters>
  <Lines>0</Lines>
  <Paragraphs>0</Paragraphs>
  <TotalTime>9</TotalTime>
  <ScaleCrop>false</ScaleCrop>
  <LinksUpToDate>false</LinksUpToDate>
  <CharactersWithSpaces>711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2024-02-07T08:29:00Z</dcterms:created>
  <dc:creator>Administrator</dc:creator>
  <cp:lastModifiedBy>Jessi</cp:lastModifiedBy>
  <cp:lastPrinted>2025-05-25T23:51:00Z</cp:lastPrinted>
  <dcterms:modified xsi:type="dcterms:W3CDTF">2025-07-18T00:53:33Z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DE820D754D2C45A994BC462C18FDBF90_11</vt:lpwstr>
  </property>
  <property fmtid="{D5CDD505-2E9C-101B-9397-08002B2CF9AE}" pid="4" name="KSOTemplateDocerSaveRecord">
    <vt:lpwstr>eyJoZGlkIjoiNTI0OGQ4NGYyZmY2ZTg1YWViM2VlNjI5YTYxY2IzN2MiLCJ1c2VySWQiOiI0OTI1MTYyNTIifQ==</vt:lpwstr>
  </property>
</Properties>
</file>