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t>海南医学院第二附属医院</w:t>
      </w:r>
      <w:r>
        <w:rPr>
          <w:rFonts w:ascii="黑体" w:hAnsi="黑体" w:eastAsia="黑体" w:cs="黑体"/>
          <w:b/>
          <w:bCs/>
          <w:sz w:val="36"/>
          <w:szCs w:val="36"/>
        </w:rPr>
        <w:t>科研管理系统</w:t>
      </w:r>
      <w:r>
        <w:rPr>
          <w:rFonts w:hint="eastAsia" w:ascii="黑体" w:hAnsi="黑体" w:eastAsia="黑体" w:cs="黑体"/>
          <w:b/>
          <w:bCs/>
          <w:sz w:val="36"/>
          <w:szCs w:val="36"/>
        </w:rPr>
        <w:t>项目需求书</w:t>
      </w:r>
    </w:p>
    <w:p>
      <w:pPr>
        <w:pStyle w:val="2"/>
        <w:numPr>
          <w:ilvl w:val="0"/>
          <w:numId w:val="2"/>
        </w:numPr>
        <w:spacing w:before="156" w:beforeLines="50" w:after="156" w:afterLines="50" w:line="360" w:lineRule="auto"/>
        <w:rPr>
          <w:rFonts w:ascii="宋体" w:hAnsi="宋体" w:eastAsia="宋体"/>
          <w:sz w:val="28"/>
          <w:szCs w:val="28"/>
        </w:rPr>
      </w:pPr>
      <w:r>
        <w:rPr>
          <w:rFonts w:hint="eastAsia" w:ascii="宋体" w:hAnsi="宋体" w:eastAsia="宋体"/>
          <w:sz w:val="28"/>
          <w:szCs w:val="28"/>
        </w:rPr>
        <w:t>项目需求</w:t>
      </w:r>
    </w:p>
    <w:p>
      <w:pPr>
        <w:pStyle w:val="3"/>
        <w:numPr>
          <w:ilvl w:val="1"/>
          <w:numId w:val="2"/>
        </w:numPr>
        <w:spacing w:before="156" w:after="156"/>
        <w:rPr>
          <w:rFonts w:ascii="宋体" w:hAnsi="宋体" w:eastAsia="宋体"/>
          <w:sz w:val="28"/>
          <w:szCs w:val="28"/>
        </w:rPr>
      </w:pPr>
      <w:r>
        <w:rPr>
          <w:rFonts w:hint="eastAsia" w:ascii="宋体" w:hAnsi="宋体" w:eastAsia="宋体"/>
          <w:sz w:val="28"/>
          <w:szCs w:val="28"/>
        </w:rPr>
        <w:t>项目概述</w:t>
      </w:r>
    </w:p>
    <w:p>
      <w:pPr>
        <w:spacing w:before="156" w:beforeLines="50" w:after="156" w:afterLines="50" w:line="360" w:lineRule="auto"/>
        <w:ind w:firstLine="480" w:firstLineChars="200"/>
        <w:rPr>
          <w:rFonts w:ascii="宋体" w:hAnsi="宋体" w:eastAsia="宋体" w:cs="Times New Roman (正文 CS 字体)"/>
          <w:color w:val="0000FF"/>
          <w:sz w:val="24"/>
        </w:rPr>
      </w:pPr>
      <w:r>
        <w:rPr>
          <w:rFonts w:hint="eastAsia" w:ascii="宋体" w:hAnsi="宋体" w:eastAsia="宋体" w:cs="Times New Roman (正文 CS 字体)"/>
          <w:sz w:val="24"/>
        </w:rPr>
        <w:t>海南医学院第二附属医院搭建科研管理系统是紧密结合国家政策和医疗行业发展需求的工作部署</w:t>
      </w:r>
      <w:r>
        <w:rPr>
          <w:rFonts w:ascii="宋体" w:hAnsi="宋体" w:eastAsia="宋体" w:cs="Times New Roman (正文 CS 字体)"/>
          <w:sz w:val="24"/>
        </w:rPr>
        <w:t>。</w:t>
      </w:r>
      <w:r>
        <w:rPr>
          <w:rFonts w:hint="eastAsia" w:ascii="宋体" w:hAnsi="宋体" w:eastAsia="宋体" w:cs="Times New Roman (正文 CS 字体)"/>
          <w:sz w:val="24"/>
        </w:rPr>
        <w:t>海南医学院第二附属医院作为海南省的综合性大型医院，长期以来享有良好的医疗和教学声誉。海南医学院第二附属医院一直秉承为人民提供优质医疗服务的宗旨，凭借高水平的医疗技术与临床经验，以及不断创新的科研成果不断赢得患者、同行和社会的认可。然而，现有的科研管理方式已经无法满足日益增长的科研需求和质量要求。为了能够更好地规范化管理科研项目、提高科研成果管理效率，并为科研人员提供良好的科研管理平台和资源共享机制，推动医院科研工作的规范化、高效化和智能化发展，提升医院科研实力和医疗服务水平。</w:t>
      </w:r>
    </w:p>
    <w:p>
      <w:pPr>
        <w:pStyle w:val="3"/>
        <w:numPr>
          <w:ilvl w:val="1"/>
          <w:numId w:val="2"/>
        </w:numPr>
        <w:spacing w:before="156" w:after="156"/>
        <w:rPr>
          <w:rFonts w:ascii="宋体" w:hAnsi="宋体" w:eastAsia="宋体" w:cs="Times New Roman"/>
          <w:kern w:val="0"/>
          <w:sz w:val="28"/>
          <w:szCs w:val="28"/>
          <w:lang w:val="zh-CN"/>
        </w:rPr>
      </w:pPr>
      <w:r>
        <w:rPr>
          <w:rFonts w:hint="eastAsia" w:ascii="宋体" w:hAnsi="宋体" w:eastAsia="宋体"/>
          <w:sz w:val="28"/>
          <w:szCs w:val="28"/>
        </w:rPr>
        <w:t>建设目标</w:t>
      </w:r>
    </w:p>
    <w:p>
      <w:pPr>
        <w:spacing w:before="156" w:beforeLines="50" w:after="156" w:afterLines="50" w:line="360" w:lineRule="auto"/>
        <w:ind w:firstLine="420"/>
        <w:rPr>
          <w:sz w:val="24"/>
        </w:rPr>
      </w:pPr>
      <w:r>
        <w:rPr>
          <w:rFonts w:hint="eastAsia"/>
          <w:sz w:val="24"/>
        </w:rPr>
        <w:t>在现代化医疗发展的需求下，海南医学院附属第二医院积极响应国家政策，致力于创建科研管理系统，提升医院科研管理水平和服务质量。以海南医学院附属第二医院科研管理系统建设为背景，实现以下建设目标：</w:t>
      </w:r>
    </w:p>
    <w:p>
      <w:pPr>
        <w:spacing w:before="156" w:beforeLines="50" w:after="156" w:afterLines="50" w:line="360" w:lineRule="auto"/>
        <w:ind w:firstLine="420"/>
        <w:rPr>
          <w:sz w:val="24"/>
        </w:rPr>
      </w:pPr>
      <w:r>
        <w:rPr>
          <w:rFonts w:hint="eastAsia"/>
          <w:sz w:val="24"/>
        </w:rPr>
        <w:t>1. 全面提升医院科研管理水平：通过科研管理系统的建设，实现规范化、信息化和智能化的科研管理，创建更好的科研管理体系。</w:t>
      </w:r>
    </w:p>
    <w:p>
      <w:pPr>
        <w:spacing w:before="156" w:beforeLines="50" w:after="156" w:afterLines="50" w:line="360" w:lineRule="auto"/>
        <w:ind w:firstLine="420"/>
        <w:rPr>
          <w:sz w:val="24"/>
        </w:rPr>
      </w:pPr>
      <w:r>
        <w:rPr>
          <w:rFonts w:hint="eastAsia"/>
          <w:sz w:val="24"/>
        </w:rPr>
        <w:t>2. 推动医学科研创新发展：整合医院内外的科研资源，加强科研项目申报、实施、验收、成果转化等各环节管理与协同，有效提高科研工作效率、实施质量和成果转化率。</w:t>
      </w:r>
    </w:p>
    <w:p>
      <w:pPr>
        <w:spacing w:before="156" w:beforeLines="50" w:after="156" w:afterLines="50" w:line="360" w:lineRule="auto"/>
        <w:ind w:firstLine="480" w:firstLineChars="200"/>
        <w:rPr>
          <w:sz w:val="24"/>
        </w:rPr>
      </w:pPr>
      <w:r>
        <w:rPr>
          <w:rFonts w:hint="eastAsia"/>
          <w:sz w:val="24"/>
        </w:rPr>
        <w:t>综合来看，科研管理平台可以帮助医院提高科研工作的效率和质量，促进资源的合理利用与共享，推动科研成果的转化与创新。</w:t>
      </w:r>
    </w:p>
    <w:p>
      <w:pPr>
        <w:spacing w:before="156" w:beforeLines="50" w:after="156" w:afterLines="50" w:line="360" w:lineRule="auto"/>
        <w:ind w:firstLine="420"/>
        <w:rPr>
          <w:sz w:val="24"/>
        </w:rPr>
      </w:pPr>
      <w:r>
        <w:rPr>
          <w:rFonts w:hint="eastAsia"/>
          <w:sz w:val="24"/>
        </w:rPr>
        <w:t>在建设目标下，我们将实现以下具体目标：</w:t>
      </w:r>
    </w:p>
    <w:p>
      <w:pPr>
        <w:spacing w:before="156" w:beforeLines="50" w:after="156" w:afterLines="50" w:line="360" w:lineRule="auto"/>
        <w:ind w:firstLine="420"/>
        <w:rPr>
          <w:sz w:val="24"/>
        </w:rPr>
      </w:pPr>
      <w:r>
        <w:rPr>
          <w:rFonts w:hint="eastAsia"/>
          <w:sz w:val="24"/>
        </w:rPr>
        <w:t>1. 建立完善的科研项目管理制度：规范项目申报、立项、经费申请与使用、监管等流程，以保障各类科研项目在规定的时间、质量和成本内顺利完成，提高医院科研绩效管理水平。</w:t>
      </w:r>
    </w:p>
    <w:p>
      <w:pPr>
        <w:spacing w:before="156" w:beforeLines="50" w:after="156" w:afterLines="50" w:line="360" w:lineRule="auto"/>
        <w:ind w:firstLine="420"/>
        <w:rPr>
          <w:sz w:val="24"/>
        </w:rPr>
      </w:pPr>
      <w:r>
        <w:rPr>
          <w:rFonts w:hint="eastAsia"/>
          <w:sz w:val="24"/>
        </w:rPr>
        <w:t>2. 加强科研成果管理与评价：建立成果评价标准和激励机制，实现科研数据的分类、质量控制与共享，推动高质量的研究成果向学术界、经济社会和临床应用转化。</w:t>
      </w:r>
    </w:p>
    <w:p>
      <w:pPr>
        <w:spacing w:before="156" w:beforeLines="50" w:after="156" w:afterLines="50" w:line="360" w:lineRule="auto"/>
        <w:ind w:firstLine="420"/>
        <w:rPr>
          <w:sz w:val="24"/>
        </w:rPr>
      </w:pPr>
      <w:r>
        <w:rPr>
          <w:rFonts w:hint="eastAsia"/>
          <w:sz w:val="24"/>
        </w:rPr>
        <w:t>3. 实现科研人员和团队管理信息化：整合医院科研人员的基本信息、学术成果、科研经历等数据，便于科研人员和团队管理、评价与合作，搭建平台鼓励科研交流与人才培养。</w:t>
      </w:r>
    </w:p>
    <w:p>
      <w:pPr>
        <w:spacing w:before="156" w:beforeLines="50" w:after="156" w:afterLines="50" w:line="360" w:lineRule="auto"/>
        <w:ind w:firstLine="420"/>
        <w:rPr>
          <w:sz w:val="24"/>
        </w:rPr>
      </w:pPr>
      <w:r>
        <w:rPr>
          <w:rFonts w:hint="eastAsia"/>
          <w:sz w:val="24"/>
        </w:rPr>
        <w:t>4. 建设和完善科研管理业务支持系统：规划设计、标准化、功能全面、稳定可靠、易操作和易维护的基础设施，推动科研管理的数字化和智能化应用。</w:t>
      </w:r>
    </w:p>
    <w:p>
      <w:pPr>
        <w:spacing w:before="156" w:beforeLines="50" w:after="156" w:afterLines="50" w:line="360" w:lineRule="auto"/>
        <w:ind w:firstLine="420"/>
        <w:rPr>
          <w:sz w:val="24"/>
        </w:rPr>
      </w:pPr>
      <w:r>
        <w:rPr>
          <w:rFonts w:hint="eastAsia"/>
          <w:sz w:val="24"/>
        </w:rPr>
        <w:t>5. 加强科研管理系统数据安全与合规：落实国家和地方相关法律法规、监管要求，保护医院科研数据的安全性、隐私性与合规性。</w:t>
      </w:r>
    </w:p>
    <w:p>
      <w:pPr>
        <w:spacing w:before="156" w:beforeLines="50" w:after="156" w:afterLines="50" w:line="360" w:lineRule="auto"/>
        <w:ind w:firstLine="420"/>
        <w:rPr>
          <w:sz w:val="24"/>
        </w:rPr>
      </w:pPr>
      <w:r>
        <w:rPr>
          <w:rFonts w:hint="eastAsia"/>
          <w:sz w:val="24"/>
        </w:rPr>
        <w:t>6. 深化医院科研产学研合作：通过科研管理系统促进院内外学术交流、技术合作、资源共享、产业对接等交流，拓宽合作渠道，增加医院的影响力。</w:t>
      </w:r>
    </w:p>
    <w:p>
      <w:pPr>
        <w:widowControl/>
        <w:adjustRightInd w:val="0"/>
        <w:snapToGrid w:val="0"/>
        <w:spacing w:line="360" w:lineRule="auto"/>
        <w:ind w:firstLine="480" w:firstLineChars="200"/>
        <w:rPr>
          <w:sz w:val="24"/>
        </w:rPr>
      </w:pPr>
      <w:r>
        <w:rPr>
          <w:rFonts w:hint="eastAsia"/>
          <w:sz w:val="24"/>
        </w:rPr>
        <w:t>7.</w:t>
      </w:r>
      <w:r>
        <w:rPr>
          <w:rFonts w:hint="eastAsia" w:ascii="Times New Roman" w:hAnsi="Times New Roman"/>
          <w:sz w:val="24"/>
        </w:rPr>
        <w:t>系统数据安全，支持数据备份和恢复，能够保障数据完整和可靠。系统性能稳定，支持多用户同时在线，能够保证工作顺畅和高效。系统电脑端支持，支持系统在各科室电脑（Windows系统、MAC系统）上使用。系统移动端支持，支持微信公众号接入，能够方便随时随地查看和处理科研工作。</w:t>
      </w:r>
    </w:p>
    <w:p>
      <w:pPr>
        <w:spacing w:before="156" w:beforeLines="50" w:after="156" w:afterLines="50" w:line="360" w:lineRule="auto"/>
        <w:ind w:firstLine="420"/>
        <w:rPr>
          <w:sz w:val="24"/>
        </w:rPr>
      </w:pPr>
      <w:r>
        <w:rPr>
          <w:rFonts w:hint="eastAsia"/>
          <w:sz w:val="24"/>
        </w:rPr>
        <w:t>通过实现以上目标，海南医学院附属第二医院科研管理系统建设将有力推动医院科研创新能力提升，带动医疗服务质量和水平的全面提高，为满足患者和社会需求、打造一个富有活力的医学创新体系提供有力支撑。</w:t>
      </w:r>
    </w:p>
    <w:p>
      <w:pPr>
        <w:pStyle w:val="3"/>
        <w:numPr>
          <w:ilvl w:val="1"/>
          <w:numId w:val="2"/>
        </w:numPr>
        <w:spacing w:before="156" w:after="156"/>
        <w:rPr>
          <w:rFonts w:ascii="宋体" w:hAnsi="宋体" w:eastAsia="宋体"/>
          <w:sz w:val="28"/>
          <w:szCs w:val="28"/>
        </w:rPr>
      </w:pPr>
      <w:r>
        <w:rPr>
          <w:rFonts w:hint="eastAsia" w:ascii="宋体" w:hAnsi="宋体" w:eastAsia="宋体"/>
          <w:sz w:val="28"/>
          <w:szCs w:val="28"/>
        </w:rPr>
        <w:t>建设内容</w:t>
      </w:r>
    </w:p>
    <w:p>
      <w:pPr>
        <w:adjustRightInd w:val="0"/>
        <w:spacing w:before="156" w:beforeLines="50" w:after="156" w:afterLines="50" w:line="360" w:lineRule="auto"/>
        <w:textAlignment w:val="baseline"/>
        <w:rPr>
          <w:rFonts w:ascii="宋体" w:hAnsi="宋体" w:eastAsia="宋体" w:cs="Times New Roman"/>
          <w:kern w:val="0"/>
          <w:sz w:val="24"/>
          <w:lang w:val="zh-CN"/>
        </w:rPr>
      </w:pPr>
      <w:r>
        <w:rPr>
          <w:rFonts w:hint="eastAsia" w:ascii="宋体" w:hAnsi="宋体" w:eastAsia="宋体" w:cs="Times New Roman"/>
          <w:kern w:val="0"/>
          <w:sz w:val="24"/>
          <w:lang w:val="zh-CN"/>
        </w:rPr>
        <w:t>本次项目建设内容清单如下：</w:t>
      </w:r>
    </w:p>
    <w:tbl>
      <w:tblPr>
        <w:tblStyle w:val="10"/>
        <w:tblW w:w="8565"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096"/>
        <w:gridCol w:w="1730"/>
        <w:gridCol w:w="2154"/>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jc w:val="center"/>
              <w:rPr>
                <w:rFonts w:ascii="宋体" w:hAnsi="宋体" w:eastAsia="宋体" w:cs="Times New Roman"/>
                <w:kern w:val="0"/>
                <w:sz w:val="24"/>
                <w:lang w:val="zh-CN"/>
              </w:rPr>
            </w:pPr>
            <w:r>
              <w:rPr>
                <w:rFonts w:hint="eastAsia" w:ascii="宋体" w:hAnsi="宋体" w:eastAsia="宋体" w:cs="宋体"/>
                <w:b/>
                <w:bCs/>
                <w:szCs w:val="21"/>
              </w:rPr>
              <w:t>序号</w:t>
            </w:r>
          </w:p>
        </w:tc>
        <w:tc>
          <w:tcPr>
            <w:tcW w:w="1096" w:type="dxa"/>
            <w:vAlign w:val="center"/>
          </w:tcPr>
          <w:p>
            <w:pPr>
              <w:jc w:val="center"/>
              <w:rPr>
                <w:rFonts w:ascii="宋体" w:hAnsi="宋体" w:eastAsia="宋体" w:cs="Times New Roman"/>
                <w:kern w:val="0"/>
                <w:sz w:val="24"/>
                <w:lang w:val="zh-CN"/>
              </w:rPr>
            </w:pPr>
            <w:r>
              <w:rPr>
                <w:rFonts w:hint="eastAsia" w:ascii="宋体" w:hAnsi="宋体" w:eastAsia="宋体" w:cs="宋体"/>
                <w:b/>
                <w:bCs/>
                <w:szCs w:val="21"/>
              </w:rPr>
              <w:t>建设大类</w:t>
            </w:r>
          </w:p>
        </w:tc>
        <w:tc>
          <w:tcPr>
            <w:tcW w:w="1730" w:type="dxa"/>
            <w:vAlign w:val="center"/>
          </w:tcPr>
          <w:p>
            <w:pPr>
              <w:jc w:val="center"/>
              <w:rPr>
                <w:rFonts w:ascii="宋体" w:hAnsi="宋体" w:eastAsia="宋体" w:cs="Times New Roman"/>
                <w:kern w:val="0"/>
                <w:sz w:val="24"/>
                <w:lang w:val="zh-CN"/>
              </w:rPr>
            </w:pPr>
            <w:r>
              <w:rPr>
                <w:rFonts w:hint="eastAsia" w:ascii="宋体" w:hAnsi="宋体" w:eastAsia="宋体" w:cs="宋体"/>
                <w:b/>
                <w:bCs/>
                <w:szCs w:val="21"/>
              </w:rPr>
              <w:t>一级模块</w:t>
            </w:r>
          </w:p>
        </w:tc>
        <w:tc>
          <w:tcPr>
            <w:tcW w:w="2154" w:type="dxa"/>
            <w:vAlign w:val="center"/>
          </w:tcPr>
          <w:p>
            <w:pPr>
              <w:jc w:val="center"/>
              <w:rPr>
                <w:rFonts w:ascii="宋体" w:hAnsi="宋体" w:eastAsia="宋体" w:cs="Times New Roman"/>
                <w:kern w:val="0"/>
                <w:sz w:val="24"/>
                <w:lang w:val="zh-CN"/>
              </w:rPr>
            </w:pPr>
            <w:r>
              <w:rPr>
                <w:rFonts w:hint="eastAsia" w:ascii="宋体" w:hAnsi="宋体" w:eastAsia="宋体" w:cs="宋体"/>
                <w:b/>
                <w:bCs/>
                <w:szCs w:val="21"/>
              </w:rPr>
              <w:t>二级模块</w:t>
            </w:r>
          </w:p>
        </w:tc>
        <w:tc>
          <w:tcPr>
            <w:tcW w:w="2650" w:type="dxa"/>
            <w:vAlign w:val="center"/>
          </w:tcPr>
          <w:p>
            <w:pPr>
              <w:jc w:val="center"/>
              <w:rPr>
                <w:rFonts w:ascii="宋体" w:hAnsi="宋体" w:eastAsia="宋体" w:cs="Times New Roman"/>
                <w:kern w:val="0"/>
                <w:sz w:val="24"/>
                <w:lang w:val="zh-CN"/>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w:t>
            </w:r>
          </w:p>
        </w:tc>
        <w:tc>
          <w:tcPr>
            <w:tcW w:w="1096"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科研管理系统</w:t>
            </w: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科研办公管理</w:t>
            </w:r>
          </w:p>
        </w:tc>
        <w:tc>
          <w:tcPr>
            <w:tcW w:w="2154" w:type="dxa"/>
          </w:tcPr>
          <w:p>
            <w:pPr>
              <w:pStyle w:val="6"/>
              <w:rPr>
                <w:rFonts w:ascii="宋体" w:hAnsi="宋体" w:eastAsia="宋体" w:cs="宋体"/>
                <w:kern w:val="0"/>
              </w:rPr>
            </w:pPr>
            <w:r>
              <w:rPr>
                <w:rFonts w:hint="eastAsia" w:ascii="宋体" w:hAnsi="宋体" w:eastAsia="宋体" w:cs="宋体"/>
                <w:kern w:val="0"/>
              </w:rPr>
              <w:t>通知公告</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rPr>
            </w:pPr>
          </w:p>
        </w:tc>
        <w:tc>
          <w:tcPr>
            <w:tcW w:w="2154" w:type="dxa"/>
          </w:tcPr>
          <w:p>
            <w:pPr>
              <w:pStyle w:val="6"/>
              <w:rPr>
                <w:rFonts w:ascii="宋体" w:hAnsi="宋体" w:eastAsia="宋体" w:cs="宋体"/>
                <w:kern w:val="0"/>
              </w:rPr>
            </w:pPr>
            <w:r>
              <w:rPr>
                <w:rFonts w:hint="eastAsia" w:ascii="宋体" w:hAnsi="宋体" w:eastAsia="宋体" w:cs="宋体"/>
                <w:kern w:val="0"/>
              </w:rPr>
              <w:t>下载中心</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消息提醒</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任务管理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5</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pPr>
            <w:r>
              <w:rPr>
                <w:rFonts w:hint="eastAsia"/>
              </w:rPr>
              <w:t>科研项目管理</w:t>
            </w:r>
          </w:p>
          <w:p>
            <w:r>
              <w:rPr>
                <w:rFonts w:hint="eastAsia" w:ascii="宋体" w:hAnsi="宋体" w:eastAsia="宋体" w:cs="宋体"/>
                <w:kern w:val="0"/>
              </w:rPr>
              <w:t>（纵向项目、横向项目、院级项目）</w:t>
            </w:r>
          </w:p>
        </w:tc>
        <w:tc>
          <w:tcPr>
            <w:tcW w:w="2154" w:type="dxa"/>
          </w:tcPr>
          <w:p>
            <w:pPr>
              <w:pStyle w:val="6"/>
              <w:rPr>
                <w:rFonts w:ascii="宋体" w:hAnsi="宋体" w:eastAsia="宋体" w:cs="宋体"/>
                <w:kern w:val="0"/>
              </w:rPr>
            </w:pPr>
            <w:r>
              <w:rPr>
                <w:rFonts w:hint="eastAsia" w:ascii="宋体" w:hAnsi="宋体" w:eastAsia="宋体" w:cs="宋体"/>
                <w:kern w:val="0"/>
              </w:rPr>
              <w:t>项目申报</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6</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申报形审</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7</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评审管理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8</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在线评审</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9</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项目立项</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10</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项目进展</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11</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项目变更</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12</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项目结题</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13</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科研经费管理</w:t>
            </w:r>
          </w:p>
        </w:tc>
        <w:tc>
          <w:tcPr>
            <w:tcW w:w="2154" w:type="dxa"/>
          </w:tcPr>
          <w:p>
            <w:pPr>
              <w:pStyle w:val="6"/>
              <w:rPr>
                <w:rFonts w:ascii="宋体" w:hAnsi="宋体" w:eastAsia="宋体" w:cs="宋体"/>
                <w:kern w:val="0"/>
              </w:rPr>
            </w:pPr>
            <w:r>
              <w:rPr>
                <w:rFonts w:hint="eastAsia" w:ascii="宋体" w:hAnsi="宋体" w:eastAsia="宋体" w:cs="宋体"/>
                <w:kern w:val="0"/>
              </w:rPr>
              <w:t>经费到账通知</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14</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经费预算管理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15</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经费预算调整</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16</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经费报销管理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17</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经费查询统计</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18</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OA系统/财务对接</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19</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科研成果管理</w:t>
            </w:r>
          </w:p>
        </w:tc>
        <w:tc>
          <w:tcPr>
            <w:tcW w:w="2154" w:type="dxa"/>
          </w:tcPr>
          <w:p>
            <w:pPr>
              <w:pStyle w:val="6"/>
              <w:rPr>
                <w:rFonts w:ascii="宋体" w:hAnsi="宋体" w:eastAsia="宋体" w:cs="宋体"/>
                <w:kern w:val="0"/>
              </w:rPr>
            </w:pPr>
            <w:r>
              <w:rPr>
                <w:rFonts w:hint="eastAsia" w:ascii="宋体" w:hAnsi="宋体" w:eastAsia="宋体" w:cs="宋体"/>
                <w:kern w:val="0"/>
              </w:rPr>
              <w:t>论文成果管理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20</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专利成果管理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21</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获奖成果管理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22</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著作成果管理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23</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学术活动管理</w:t>
            </w:r>
          </w:p>
        </w:tc>
        <w:tc>
          <w:tcPr>
            <w:tcW w:w="2154" w:type="dxa"/>
          </w:tcPr>
          <w:p>
            <w:pPr>
              <w:pStyle w:val="6"/>
              <w:rPr>
                <w:rFonts w:ascii="宋体" w:hAnsi="宋体" w:eastAsia="宋体" w:cs="宋体"/>
                <w:kern w:val="0"/>
              </w:rPr>
            </w:pPr>
            <w:r>
              <w:rPr>
                <w:rFonts w:hint="eastAsia" w:ascii="宋体" w:hAnsi="宋体" w:eastAsia="宋体" w:cs="宋体"/>
                <w:kern w:val="0"/>
              </w:rPr>
              <w:t>学术团体任职管理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24</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学术期刊任职管理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25</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举办或参与重大学术会议</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26</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科研事记管理</w:t>
            </w:r>
          </w:p>
        </w:tc>
        <w:tc>
          <w:tcPr>
            <w:tcW w:w="2154" w:type="dxa"/>
          </w:tcPr>
          <w:p>
            <w:pPr>
              <w:pStyle w:val="6"/>
              <w:rPr>
                <w:rFonts w:ascii="宋体" w:hAnsi="宋体" w:eastAsia="宋体" w:cs="宋体"/>
              </w:rPr>
            </w:pPr>
            <w:r>
              <w:rPr>
                <w:rFonts w:hint="eastAsia" w:ascii="宋体" w:hAnsi="宋体" w:eastAsia="宋体" w:cs="宋体"/>
                <w:kern w:val="0"/>
              </w:rPr>
              <w:t>科研培训管理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27</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科研会议管理</w:t>
            </w:r>
          </w:p>
        </w:tc>
        <w:tc>
          <w:tcPr>
            <w:tcW w:w="2650" w:type="dxa"/>
          </w:tcPr>
          <w:p>
            <w:pPr>
              <w:pStyle w:val="6"/>
              <w:rPr>
                <w:rFonts w:ascii="宋体" w:hAnsi="宋体" w:eastAsia="宋体" w:cs="宋体"/>
                <w:kern w:val="0"/>
                <w:lang w:val="zh-CN"/>
              </w:rPr>
            </w:pPr>
          </w:p>
        </w:tc>
      </w:tr>
      <w:tr>
        <w:tblPrEx>
          <w:tblCellMar>
            <w:top w:w="0" w:type="dxa"/>
            <w:left w:w="108" w:type="dxa"/>
            <w:bottom w:w="0" w:type="dxa"/>
            <w:right w:w="108" w:type="dxa"/>
          </w:tblCellMar>
        </w:tblPrEx>
        <w:tc>
          <w:tcPr>
            <w:tcW w:w="935" w:type="dxa"/>
          </w:tcPr>
          <w:p>
            <w:pPr>
              <w:pStyle w:val="6"/>
              <w:jc w:val="center"/>
              <w:rPr>
                <w:kern w:val="0"/>
              </w:rPr>
            </w:pPr>
            <w:r>
              <w:rPr>
                <w:rFonts w:hint="eastAsia"/>
                <w:kern w:val="0"/>
              </w:rPr>
              <w:t>28</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科研活动管理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29</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科研日志管理</w:t>
            </w:r>
          </w:p>
        </w:tc>
        <w:tc>
          <w:tcPr>
            <w:tcW w:w="2650" w:type="dxa"/>
          </w:tcPr>
          <w:p>
            <w:pPr>
              <w:pStyle w:val="6"/>
              <w:rPr>
                <w:rFonts w:ascii="宋体" w:hAnsi="宋体" w:eastAsia="宋体" w:cs="宋体"/>
                <w:kern w:val="0"/>
                <w:lang w:val="zh-CN"/>
              </w:rPr>
            </w:pPr>
          </w:p>
        </w:tc>
      </w:tr>
      <w:tr>
        <w:tblPrEx>
          <w:tblCellMar>
            <w:top w:w="0" w:type="dxa"/>
            <w:left w:w="108" w:type="dxa"/>
            <w:bottom w:w="0" w:type="dxa"/>
            <w:right w:w="108" w:type="dxa"/>
          </w:tblCellMar>
        </w:tblPrEx>
        <w:tc>
          <w:tcPr>
            <w:tcW w:w="935" w:type="dxa"/>
          </w:tcPr>
          <w:p>
            <w:pPr>
              <w:pStyle w:val="6"/>
              <w:jc w:val="center"/>
              <w:rPr>
                <w:kern w:val="0"/>
              </w:rPr>
            </w:pPr>
            <w:r>
              <w:rPr>
                <w:rFonts w:hint="eastAsia"/>
                <w:kern w:val="0"/>
              </w:rPr>
              <w:t>30</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科研档案管理</w:t>
            </w:r>
          </w:p>
        </w:tc>
        <w:tc>
          <w:tcPr>
            <w:tcW w:w="2154" w:type="dxa"/>
          </w:tcPr>
          <w:p>
            <w:pPr>
              <w:pStyle w:val="6"/>
              <w:rPr>
                <w:rFonts w:ascii="宋体" w:hAnsi="宋体" w:eastAsia="宋体" w:cs="宋体"/>
                <w:kern w:val="0"/>
              </w:rPr>
            </w:pPr>
            <w:r>
              <w:rPr>
                <w:rFonts w:hint="eastAsia" w:ascii="宋体" w:hAnsi="宋体" w:eastAsia="宋体" w:cs="宋体"/>
                <w:kern w:val="0"/>
              </w:rPr>
              <w:t>个人科研档案</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31</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科室科研档案</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32</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全院科研档案</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33</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科研决策支持</w:t>
            </w:r>
          </w:p>
        </w:tc>
        <w:tc>
          <w:tcPr>
            <w:tcW w:w="2154" w:type="dxa"/>
          </w:tcPr>
          <w:p>
            <w:pPr>
              <w:pStyle w:val="6"/>
              <w:rPr>
                <w:rFonts w:ascii="宋体" w:hAnsi="宋体" w:eastAsia="宋体" w:cs="宋体"/>
                <w:kern w:val="0"/>
              </w:rPr>
            </w:pPr>
            <w:r>
              <w:rPr>
                <w:rFonts w:hint="eastAsia" w:ascii="宋体" w:hAnsi="宋体" w:eastAsia="宋体" w:cs="宋体"/>
                <w:kern w:val="0"/>
              </w:rPr>
              <w:t>固定查询报表</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34</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自定义查询报表</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35</w:t>
            </w:r>
          </w:p>
        </w:tc>
        <w:tc>
          <w:tcPr>
            <w:tcW w:w="1096" w:type="dxa"/>
            <w:vMerge w:val="continue"/>
          </w:tcPr>
          <w:p>
            <w:pPr>
              <w:pStyle w:val="6"/>
              <w:rPr>
                <w:rFonts w:ascii="宋体" w:hAnsi="宋体" w:eastAsia="宋体" w:cs="宋体"/>
                <w:kern w:val="0"/>
                <w:lang w:val="zh-CN"/>
              </w:rPr>
            </w:pPr>
          </w:p>
        </w:tc>
        <w:tc>
          <w:tcPr>
            <w:tcW w:w="1730" w:type="dxa"/>
            <w:vMerge w:val="continue"/>
            <w:vAlign w:val="center"/>
          </w:tcPr>
          <w:p>
            <w:pPr>
              <w:pStyle w:val="6"/>
              <w:jc w:val="center"/>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可视化数据分析</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36</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科研资源管理</w:t>
            </w:r>
          </w:p>
        </w:tc>
        <w:tc>
          <w:tcPr>
            <w:tcW w:w="2154" w:type="dxa"/>
          </w:tcPr>
          <w:p>
            <w:pPr>
              <w:pStyle w:val="6"/>
              <w:rPr>
                <w:rFonts w:ascii="宋体" w:hAnsi="宋体" w:eastAsia="宋体" w:cs="宋体"/>
                <w:kern w:val="0"/>
              </w:rPr>
            </w:pPr>
            <w:r>
              <w:rPr>
                <w:rFonts w:hint="eastAsia" w:ascii="宋体" w:hAnsi="宋体" w:eastAsia="宋体" w:cs="宋体"/>
                <w:kern w:val="0"/>
              </w:rPr>
              <w:t>科研人员管理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37</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评审专家管理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38</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科研物资管理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39</w:t>
            </w:r>
          </w:p>
        </w:tc>
        <w:tc>
          <w:tcPr>
            <w:tcW w:w="1096" w:type="dxa"/>
            <w:vMerge w:val="continue"/>
          </w:tcPr>
          <w:p>
            <w:pPr>
              <w:pStyle w:val="6"/>
              <w:rPr>
                <w:rFonts w:ascii="宋体" w:hAnsi="宋体" w:eastAsia="宋体" w:cs="宋体"/>
                <w:kern w:val="0"/>
                <w:lang w:val="zh-CN"/>
              </w:rPr>
            </w:pPr>
          </w:p>
        </w:tc>
        <w:tc>
          <w:tcPr>
            <w:tcW w:w="1730" w:type="dxa"/>
            <w:vMerge w:val="restart"/>
            <w:vAlign w:val="center"/>
          </w:tcPr>
          <w:p>
            <w:pPr>
              <w:pStyle w:val="6"/>
              <w:jc w:val="center"/>
              <w:rPr>
                <w:rFonts w:ascii="宋体" w:hAnsi="宋体" w:eastAsia="宋体" w:cs="宋体"/>
                <w:kern w:val="0"/>
              </w:rPr>
            </w:pPr>
            <w:r>
              <w:rPr>
                <w:rFonts w:hint="eastAsia" w:ascii="宋体" w:hAnsi="宋体" w:eastAsia="宋体" w:cs="宋体"/>
                <w:kern w:val="0"/>
              </w:rPr>
              <w:t>科研配置管理</w:t>
            </w:r>
          </w:p>
        </w:tc>
        <w:tc>
          <w:tcPr>
            <w:tcW w:w="2154" w:type="dxa"/>
          </w:tcPr>
          <w:p>
            <w:pPr>
              <w:pStyle w:val="6"/>
              <w:rPr>
                <w:rFonts w:ascii="宋体" w:hAnsi="宋体" w:eastAsia="宋体" w:cs="宋体"/>
                <w:kern w:val="0"/>
              </w:rPr>
            </w:pPr>
            <w:r>
              <w:rPr>
                <w:rFonts w:hint="eastAsia" w:ascii="宋体" w:hAnsi="宋体" w:eastAsia="宋体" w:cs="宋体"/>
                <w:kern w:val="0"/>
              </w:rPr>
              <w:t>系统人员管理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40</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系统角色管理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41</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系统流程管理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42</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科室信息管理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43</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系统参数管理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44</w:t>
            </w:r>
          </w:p>
        </w:tc>
        <w:tc>
          <w:tcPr>
            <w:tcW w:w="1096" w:type="dxa"/>
            <w:vMerge w:val="continue"/>
          </w:tcPr>
          <w:p>
            <w:pPr>
              <w:pStyle w:val="6"/>
              <w:rPr>
                <w:rFonts w:ascii="宋体" w:hAnsi="宋体" w:eastAsia="宋体" w:cs="宋体"/>
                <w:kern w:val="0"/>
                <w:lang w:val="zh-CN"/>
              </w:rPr>
            </w:pPr>
          </w:p>
        </w:tc>
        <w:tc>
          <w:tcPr>
            <w:tcW w:w="1730" w:type="dxa"/>
            <w:vMerge w:val="continue"/>
          </w:tcPr>
          <w:p>
            <w:pPr>
              <w:pStyle w:val="6"/>
              <w:rPr>
                <w:rFonts w:ascii="宋体" w:hAnsi="宋体" w:eastAsia="宋体" w:cs="宋体"/>
                <w:kern w:val="0"/>
                <w:lang w:val="zh-CN"/>
              </w:rPr>
            </w:pPr>
          </w:p>
        </w:tc>
        <w:tc>
          <w:tcPr>
            <w:tcW w:w="2154" w:type="dxa"/>
          </w:tcPr>
          <w:p>
            <w:pPr>
              <w:pStyle w:val="6"/>
              <w:rPr>
                <w:rFonts w:ascii="宋体" w:hAnsi="宋体" w:eastAsia="宋体" w:cs="宋体"/>
                <w:kern w:val="0"/>
              </w:rPr>
            </w:pPr>
            <w:r>
              <w:rPr>
                <w:rFonts w:hint="eastAsia" w:ascii="宋体" w:hAnsi="宋体" w:eastAsia="宋体" w:cs="宋体"/>
                <w:kern w:val="0"/>
              </w:rPr>
              <w:t>系统日志管理</w:t>
            </w: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45</w:t>
            </w:r>
          </w:p>
        </w:tc>
        <w:tc>
          <w:tcPr>
            <w:tcW w:w="1096" w:type="dxa"/>
          </w:tcPr>
          <w:p>
            <w:pPr>
              <w:pStyle w:val="6"/>
              <w:rPr>
                <w:rFonts w:ascii="宋体" w:hAnsi="宋体" w:eastAsia="宋体" w:cs="宋体"/>
                <w:kern w:val="0"/>
                <w:lang w:val="zh-CN"/>
              </w:rPr>
            </w:pPr>
          </w:p>
        </w:tc>
        <w:tc>
          <w:tcPr>
            <w:tcW w:w="1730" w:type="dxa"/>
          </w:tcPr>
          <w:p>
            <w:pPr>
              <w:pStyle w:val="6"/>
              <w:jc w:val="center"/>
              <w:rPr>
                <w:rFonts w:ascii="宋体" w:hAnsi="宋体" w:eastAsia="宋体" w:cs="宋体"/>
                <w:kern w:val="0"/>
              </w:rPr>
            </w:pPr>
            <w:r>
              <w:rPr>
                <w:rFonts w:hint="eastAsia" w:ascii="宋体" w:hAnsi="宋体" w:eastAsia="宋体" w:cs="宋体"/>
                <w:kern w:val="0"/>
              </w:rPr>
              <w:t>移动端管理</w:t>
            </w:r>
          </w:p>
        </w:tc>
        <w:tc>
          <w:tcPr>
            <w:tcW w:w="2154" w:type="dxa"/>
          </w:tcPr>
          <w:p>
            <w:pPr>
              <w:pStyle w:val="6"/>
              <w:rPr>
                <w:rFonts w:ascii="宋体" w:hAnsi="宋体" w:eastAsia="宋体" w:cs="宋体"/>
                <w:kern w:val="0"/>
              </w:rPr>
            </w:pPr>
          </w:p>
        </w:tc>
        <w:tc>
          <w:tcPr>
            <w:tcW w:w="2650" w:type="dxa"/>
          </w:tcPr>
          <w:p>
            <w:pPr>
              <w:pStyle w:val="6"/>
              <w:rPr>
                <w:rFonts w:ascii="宋体" w:hAnsi="宋体" w:eastAsia="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pStyle w:val="6"/>
              <w:jc w:val="center"/>
              <w:rPr>
                <w:kern w:val="0"/>
              </w:rPr>
            </w:pPr>
            <w:r>
              <w:rPr>
                <w:rFonts w:hint="eastAsia"/>
                <w:kern w:val="0"/>
              </w:rPr>
              <w:t>46</w:t>
            </w:r>
          </w:p>
        </w:tc>
        <w:tc>
          <w:tcPr>
            <w:tcW w:w="1096" w:type="dxa"/>
          </w:tcPr>
          <w:p>
            <w:pPr>
              <w:pStyle w:val="6"/>
              <w:rPr>
                <w:rFonts w:ascii="宋体" w:hAnsi="宋体" w:eastAsia="宋体" w:cs="宋体"/>
                <w:kern w:val="0"/>
                <w:lang w:val="zh-CN"/>
              </w:rPr>
            </w:pPr>
          </w:p>
        </w:tc>
        <w:tc>
          <w:tcPr>
            <w:tcW w:w="1730" w:type="dxa"/>
          </w:tcPr>
          <w:p>
            <w:pPr>
              <w:pStyle w:val="6"/>
              <w:jc w:val="center"/>
              <w:rPr>
                <w:rFonts w:ascii="宋体" w:hAnsi="宋体" w:eastAsia="宋体" w:cs="宋体"/>
                <w:kern w:val="0"/>
                <w:lang w:val="zh-CN"/>
              </w:rPr>
            </w:pPr>
            <w:r>
              <w:rPr>
                <w:rFonts w:hint="eastAsia" w:ascii="宋体" w:hAnsi="宋体" w:eastAsia="宋体" w:cs="宋体"/>
                <w:kern w:val="0"/>
                <w:lang w:val="zh-CN"/>
              </w:rPr>
              <w:t>数据互联互通</w:t>
            </w:r>
          </w:p>
        </w:tc>
        <w:tc>
          <w:tcPr>
            <w:tcW w:w="2154" w:type="dxa"/>
          </w:tcPr>
          <w:p>
            <w:pPr>
              <w:pStyle w:val="6"/>
              <w:rPr>
                <w:rFonts w:ascii="宋体" w:hAnsi="宋体" w:eastAsia="宋体" w:cs="宋体"/>
                <w:kern w:val="0"/>
              </w:rPr>
            </w:pPr>
          </w:p>
        </w:tc>
        <w:tc>
          <w:tcPr>
            <w:tcW w:w="2650" w:type="dxa"/>
          </w:tcPr>
          <w:p>
            <w:pPr>
              <w:pStyle w:val="6"/>
              <w:rPr>
                <w:rFonts w:ascii="宋体" w:hAnsi="宋体" w:eastAsia="宋体" w:cs="宋体"/>
                <w:kern w:val="0"/>
                <w:lang w:val="zh-CN"/>
              </w:rPr>
            </w:pPr>
          </w:p>
        </w:tc>
      </w:tr>
    </w:tbl>
    <w:p/>
    <w:tbl>
      <w:tblPr>
        <w:tblStyle w:val="10"/>
        <w:tblW w:w="8635"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44"/>
        <w:gridCol w:w="930"/>
        <w:gridCol w:w="2805"/>
        <w:gridCol w:w="686"/>
        <w:gridCol w:w="65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98" w:type="dxa"/>
            <w:noWrap/>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244" w:type="dxa"/>
            <w:vAlign w:val="center"/>
          </w:tcPr>
          <w:p>
            <w:pPr>
              <w:jc w:val="center"/>
              <w:rPr>
                <w:rFonts w:ascii="宋体" w:hAnsi="宋体" w:eastAsia="宋体" w:cs="宋体"/>
                <w:b/>
                <w:bCs/>
                <w:szCs w:val="21"/>
              </w:rPr>
            </w:pPr>
            <w:r>
              <w:rPr>
                <w:rFonts w:hint="eastAsia" w:ascii="宋体" w:hAnsi="宋体" w:eastAsia="宋体" w:cs="宋体"/>
                <w:b/>
                <w:bCs/>
                <w:szCs w:val="21"/>
              </w:rPr>
              <w:t>产品名称</w:t>
            </w:r>
          </w:p>
        </w:tc>
        <w:tc>
          <w:tcPr>
            <w:tcW w:w="930" w:type="dxa"/>
            <w:vAlign w:val="center"/>
          </w:tcPr>
          <w:p>
            <w:pPr>
              <w:jc w:val="center"/>
              <w:rPr>
                <w:rFonts w:ascii="宋体" w:hAnsi="宋体" w:eastAsia="宋体" w:cs="宋体"/>
                <w:b/>
                <w:bCs/>
                <w:szCs w:val="21"/>
              </w:rPr>
            </w:pPr>
            <w:r>
              <w:rPr>
                <w:rFonts w:hint="eastAsia" w:ascii="宋体" w:hAnsi="宋体" w:eastAsia="宋体" w:cs="宋体"/>
                <w:b/>
                <w:bCs/>
                <w:szCs w:val="21"/>
              </w:rPr>
              <w:t>类型</w:t>
            </w:r>
          </w:p>
        </w:tc>
        <w:tc>
          <w:tcPr>
            <w:tcW w:w="280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
                <w:bCs/>
                <w:szCs w:val="21"/>
                <w:lang w:val="en-US" w:eastAsia="zh-CN"/>
              </w:rPr>
              <w:t>参考配置</w:t>
            </w:r>
          </w:p>
        </w:tc>
        <w:tc>
          <w:tcPr>
            <w:tcW w:w="686"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54"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1618" w:type="dxa"/>
            <w:noWrap/>
            <w:vAlign w:val="center"/>
          </w:tcPr>
          <w:p>
            <w:pPr>
              <w:jc w:val="center"/>
              <w:rPr>
                <w:rFonts w:ascii="宋体" w:hAnsi="宋体" w:eastAsia="宋体" w:cs="宋体"/>
                <w:b/>
                <w:bCs/>
                <w:szCs w:val="21"/>
              </w:rPr>
            </w:pPr>
            <w:r>
              <w:rPr>
                <w:rFonts w:hint="eastAsia" w:ascii="宋体" w:hAnsi="宋体" w:eastAsia="宋体" w:cs="宋体"/>
                <w:b/>
                <w:bCs/>
                <w:szCs w:val="21"/>
              </w:rPr>
              <w:t>预算参考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9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244" w:type="dxa"/>
            <w:vAlign w:val="center"/>
          </w:tcPr>
          <w:p>
            <w:pPr>
              <w:jc w:val="center"/>
              <w:rPr>
                <w:rFonts w:ascii="宋体" w:hAnsi="宋体" w:eastAsia="宋体" w:cs="宋体"/>
                <w:szCs w:val="21"/>
              </w:rPr>
            </w:pPr>
            <w:r>
              <w:rPr>
                <w:rFonts w:hint="eastAsia" w:ascii="宋体" w:hAnsi="宋体" w:eastAsia="宋体" w:cs="宋体"/>
                <w:szCs w:val="21"/>
              </w:rPr>
              <w:t>国产硬件服务器</w:t>
            </w:r>
          </w:p>
        </w:tc>
        <w:tc>
          <w:tcPr>
            <w:tcW w:w="930" w:type="dxa"/>
            <w:vAlign w:val="center"/>
          </w:tcPr>
          <w:p>
            <w:pPr>
              <w:jc w:val="center"/>
              <w:rPr>
                <w:rFonts w:ascii="宋体" w:hAnsi="宋体" w:cs="宋体"/>
                <w:szCs w:val="21"/>
              </w:rPr>
            </w:pPr>
            <w:r>
              <w:rPr>
                <w:rFonts w:hint="eastAsia" w:ascii="宋体" w:hAnsi="宋体" w:cs="宋体"/>
                <w:szCs w:val="21"/>
              </w:rPr>
              <w:t>硬件</w:t>
            </w:r>
          </w:p>
        </w:tc>
        <w:tc>
          <w:tcPr>
            <w:tcW w:w="2805"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1、请明确CPU为国产产品和细化硬盘配置参数，建议为：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1)品牌要求：国产品牌；</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2)处理器：≥2颗x86架构CPU（国产），每颗CPU核心数≥16核，每颗CPU主频≥2.0GHz；</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3)内存：≥64GB DDR4 3200MHz ECC RDIMM内存；</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4)硬盘：1.92TB SSD * 4（块）；</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5)硬盘控制器：≥4GB Cache、12Gb RAID控制器，支持RAID 0/1/5/10/50；</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6)网卡：≥2个千兆RJ45网口；</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7)电源：配置热插拔N+1冗余电源。</w:t>
            </w:r>
          </w:p>
        </w:tc>
        <w:tc>
          <w:tcPr>
            <w:tcW w:w="68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654"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1618" w:type="dxa"/>
            <w:noWra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98"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1244" w:type="dxa"/>
            <w:vAlign w:val="center"/>
          </w:tcPr>
          <w:p>
            <w:pPr>
              <w:jc w:val="center"/>
              <w:rPr>
                <w:rFonts w:ascii="宋体" w:hAnsi="宋体" w:eastAsia="宋体" w:cs="宋体"/>
                <w:szCs w:val="21"/>
              </w:rPr>
            </w:pPr>
            <w:r>
              <w:rPr>
                <w:rFonts w:hint="eastAsia" w:ascii="宋体" w:hAnsi="宋体" w:eastAsia="宋体" w:cs="宋体"/>
                <w:szCs w:val="21"/>
              </w:rPr>
              <w:t>国产关系型数据库</w:t>
            </w:r>
          </w:p>
        </w:tc>
        <w:tc>
          <w:tcPr>
            <w:tcW w:w="930" w:type="dxa"/>
            <w:vAlign w:val="center"/>
          </w:tcPr>
          <w:p>
            <w:pPr>
              <w:jc w:val="center"/>
              <w:rPr>
                <w:rFonts w:ascii="宋体" w:hAnsi="宋体" w:eastAsia="宋体" w:cs="宋体"/>
                <w:szCs w:val="21"/>
              </w:rPr>
            </w:pPr>
            <w:r>
              <w:rPr>
                <w:rFonts w:hint="eastAsia" w:ascii="宋体" w:hAnsi="宋体" w:eastAsia="宋体" w:cs="宋体"/>
                <w:szCs w:val="21"/>
              </w:rPr>
              <w:t>数据库</w:t>
            </w:r>
          </w:p>
        </w:tc>
        <w:tc>
          <w:tcPr>
            <w:tcW w:w="2805" w:type="dxa"/>
            <w:vAlign w:val="center"/>
          </w:tcPr>
          <w:p>
            <w:pPr>
              <w:jc w:val="center"/>
              <w:rPr>
                <w:rFonts w:ascii="宋体" w:hAnsi="宋体" w:eastAsia="宋体" w:cs="宋体"/>
                <w:szCs w:val="21"/>
              </w:rPr>
            </w:pPr>
            <w:r>
              <w:rPr>
                <w:rFonts w:hint="eastAsia" w:ascii="宋体" w:hAnsi="宋体" w:eastAsia="宋体" w:cs="宋体"/>
                <w:szCs w:val="21"/>
              </w:rPr>
              <w:t>RTO</w:t>
            </w:r>
            <w:r>
              <w:rPr>
                <w:rFonts w:ascii="宋体" w:hAnsi="宋体" w:eastAsia="宋体" w:cs="宋体"/>
                <w:szCs w:val="21"/>
              </w:rPr>
              <w:t>&lt;80S</w:t>
            </w:r>
            <w:r>
              <w:rPr>
                <w:rFonts w:hint="eastAsia" w:ascii="宋体" w:hAnsi="宋体" w:eastAsia="宋体" w:cs="宋体"/>
                <w:szCs w:val="21"/>
              </w:rPr>
              <w:t>，支持国密算法，支持标准SQL，国产化合规。</w:t>
            </w:r>
          </w:p>
        </w:tc>
        <w:tc>
          <w:tcPr>
            <w:tcW w:w="68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654"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1618" w:type="dxa"/>
            <w:noWra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98" w:type="dxa"/>
            <w:noWrap/>
            <w:vAlign w:val="center"/>
          </w:tcPr>
          <w:p>
            <w:pPr>
              <w:jc w:val="center"/>
              <w:rPr>
                <w:rFonts w:ascii="宋体" w:hAnsi="宋体" w:eastAsia="宋体" w:cs="宋体"/>
                <w:szCs w:val="21"/>
              </w:rPr>
            </w:pPr>
            <w:r>
              <w:rPr>
                <w:rFonts w:hint="eastAsia" w:ascii="宋体" w:hAnsi="宋体" w:eastAsia="宋体" w:cs="宋体"/>
                <w:szCs w:val="21"/>
              </w:rPr>
              <w:t>3</w:t>
            </w:r>
          </w:p>
        </w:tc>
        <w:tc>
          <w:tcPr>
            <w:tcW w:w="1244" w:type="dxa"/>
            <w:vAlign w:val="center"/>
          </w:tcPr>
          <w:p>
            <w:pPr>
              <w:jc w:val="center"/>
              <w:rPr>
                <w:rFonts w:ascii="宋体" w:hAnsi="宋体" w:eastAsia="宋体" w:cs="宋体"/>
                <w:szCs w:val="21"/>
              </w:rPr>
            </w:pPr>
            <w:r>
              <w:rPr>
                <w:rFonts w:hint="eastAsia" w:ascii="宋体" w:hAnsi="宋体" w:eastAsia="宋体" w:cs="宋体"/>
                <w:szCs w:val="21"/>
              </w:rPr>
              <w:t>国产缓存数据库</w:t>
            </w:r>
          </w:p>
        </w:tc>
        <w:tc>
          <w:tcPr>
            <w:tcW w:w="930" w:type="dxa"/>
            <w:vAlign w:val="center"/>
          </w:tcPr>
          <w:p>
            <w:pPr>
              <w:jc w:val="center"/>
              <w:rPr>
                <w:rFonts w:ascii="宋体" w:hAnsi="宋体" w:eastAsia="宋体" w:cs="宋体"/>
                <w:szCs w:val="21"/>
              </w:rPr>
            </w:pPr>
            <w:r>
              <w:rPr>
                <w:rFonts w:hint="eastAsia" w:ascii="宋体" w:hAnsi="宋体" w:eastAsia="宋体" w:cs="宋体"/>
                <w:szCs w:val="21"/>
              </w:rPr>
              <w:t>数据库</w:t>
            </w:r>
          </w:p>
        </w:tc>
        <w:tc>
          <w:tcPr>
            <w:tcW w:w="2805" w:type="dxa"/>
            <w:vAlign w:val="center"/>
          </w:tcPr>
          <w:p>
            <w:pPr>
              <w:jc w:val="center"/>
              <w:rPr>
                <w:rFonts w:ascii="宋体" w:hAnsi="宋体" w:eastAsia="宋体" w:cs="宋体"/>
                <w:szCs w:val="21"/>
              </w:rPr>
            </w:pPr>
            <w:r>
              <w:rPr>
                <w:rFonts w:hint="eastAsia" w:ascii="宋体" w:hAnsi="宋体" w:eastAsia="宋体" w:cs="宋体"/>
                <w:szCs w:val="21"/>
              </w:rPr>
              <w:t>兼容国产服务器、国产化操作系统</w:t>
            </w:r>
          </w:p>
        </w:tc>
        <w:tc>
          <w:tcPr>
            <w:tcW w:w="686" w:type="dxa"/>
            <w:vAlign w:val="center"/>
          </w:tcPr>
          <w:p>
            <w:pPr>
              <w:jc w:val="center"/>
              <w:rPr>
                <w:rFonts w:ascii="宋体" w:hAnsi="宋体" w:eastAsia="宋体" w:cs="宋体"/>
                <w:szCs w:val="21"/>
              </w:rPr>
            </w:pPr>
            <w:r>
              <w:rPr>
                <w:rFonts w:ascii="宋体" w:hAnsi="宋体" w:eastAsia="宋体" w:cs="宋体"/>
                <w:szCs w:val="21"/>
              </w:rPr>
              <w:t>2</w:t>
            </w:r>
          </w:p>
        </w:tc>
        <w:tc>
          <w:tcPr>
            <w:tcW w:w="654"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1618" w:type="dxa"/>
            <w:noWra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69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1244" w:type="dxa"/>
            <w:vAlign w:val="center"/>
          </w:tcPr>
          <w:p>
            <w:pPr>
              <w:jc w:val="center"/>
              <w:rPr>
                <w:rFonts w:ascii="宋体" w:hAnsi="宋体" w:eastAsia="宋体" w:cs="宋体"/>
                <w:szCs w:val="21"/>
              </w:rPr>
            </w:pPr>
            <w:r>
              <w:rPr>
                <w:rFonts w:hint="eastAsia" w:ascii="宋体" w:hAnsi="宋体" w:eastAsia="宋体" w:cs="宋体"/>
                <w:szCs w:val="21"/>
              </w:rPr>
              <w:t>国产Http和反向代理中间件</w:t>
            </w:r>
          </w:p>
        </w:tc>
        <w:tc>
          <w:tcPr>
            <w:tcW w:w="930" w:type="dxa"/>
            <w:vAlign w:val="center"/>
          </w:tcPr>
          <w:p>
            <w:pPr>
              <w:jc w:val="center"/>
              <w:rPr>
                <w:rFonts w:ascii="宋体" w:hAnsi="宋体" w:eastAsia="宋体" w:cs="宋体"/>
                <w:szCs w:val="21"/>
              </w:rPr>
            </w:pPr>
            <w:r>
              <w:rPr>
                <w:rFonts w:hint="eastAsia" w:ascii="宋体" w:hAnsi="宋体" w:eastAsia="宋体" w:cs="宋体"/>
                <w:szCs w:val="21"/>
              </w:rPr>
              <w:t>中间件</w:t>
            </w:r>
          </w:p>
        </w:tc>
        <w:tc>
          <w:tcPr>
            <w:tcW w:w="2805" w:type="dxa"/>
            <w:vAlign w:val="center"/>
          </w:tcPr>
          <w:p>
            <w:pPr>
              <w:jc w:val="center"/>
              <w:rPr>
                <w:rFonts w:ascii="宋体" w:hAnsi="宋体" w:eastAsia="宋体" w:cs="宋体"/>
                <w:szCs w:val="21"/>
              </w:rPr>
            </w:pPr>
            <w:r>
              <w:rPr>
                <w:rFonts w:hint="eastAsia" w:ascii="宋体" w:hAnsi="宋体" w:eastAsia="宋体" w:cs="宋体"/>
                <w:szCs w:val="21"/>
              </w:rPr>
              <w:t>支持HTTP/</w:t>
            </w:r>
            <w:r>
              <w:rPr>
                <w:rFonts w:ascii="宋体" w:hAnsi="宋体" w:eastAsia="宋体" w:cs="宋体"/>
                <w:szCs w:val="21"/>
              </w:rPr>
              <w:t>3</w:t>
            </w:r>
            <w:r>
              <w:rPr>
                <w:rFonts w:hint="eastAsia" w:ascii="宋体" w:hAnsi="宋体" w:eastAsia="宋体" w:cs="宋体"/>
                <w:szCs w:val="21"/>
              </w:rPr>
              <w:t>，TLS多版本，t</w:t>
            </w:r>
            <w:r>
              <w:rPr>
                <w:rFonts w:ascii="宋体" w:hAnsi="宋体" w:eastAsia="宋体" w:cs="宋体"/>
                <w:szCs w:val="21"/>
              </w:rPr>
              <w:t>imeout</w:t>
            </w:r>
            <w:r>
              <w:rPr>
                <w:rFonts w:hint="eastAsia" w:ascii="宋体" w:hAnsi="宋体" w:eastAsia="宋体" w:cs="宋体"/>
                <w:szCs w:val="21"/>
              </w:rPr>
              <w:t>，强制H</w:t>
            </w:r>
            <w:r>
              <w:rPr>
                <w:rFonts w:ascii="宋体" w:hAnsi="宋体" w:eastAsia="宋体" w:cs="宋体"/>
                <w:szCs w:val="21"/>
              </w:rPr>
              <w:t>TTPS</w:t>
            </w:r>
            <w:r>
              <w:rPr>
                <w:rFonts w:hint="eastAsia" w:ascii="宋体" w:hAnsi="宋体" w:eastAsia="宋体" w:cs="宋体"/>
                <w:szCs w:val="21"/>
              </w:rPr>
              <w:t>，CORS和r</w:t>
            </w:r>
            <w:r>
              <w:rPr>
                <w:rFonts w:ascii="宋体" w:hAnsi="宋体" w:eastAsia="宋体" w:cs="宋体"/>
                <w:szCs w:val="21"/>
              </w:rPr>
              <w:t>obots</w:t>
            </w:r>
            <w:r>
              <w:rPr>
                <w:rFonts w:hint="eastAsia" w:ascii="宋体" w:hAnsi="宋体" w:eastAsia="宋体" w:cs="宋体"/>
                <w:szCs w:val="21"/>
              </w:rPr>
              <w:t>动态无损生效，支持域名、证书、路由的动态无损生效，支持异步O</w:t>
            </w:r>
            <w:r>
              <w:rPr>
                <w:rFonts w:ascii="宋体" w:hAnsi="宋体" w:eastAsia="宋体" w:cs="宋体"/>
                <w:szCs w:val="21"/>
              </w:rPr>
              <w:t>penSSL</w:t>
            </w:r>
            <w:r>
              <w:rPr>
                <w:rFonts w:hint="eastAsia" w:ascii="宋体" w:hAnsi="宋体" w:eastAsia="宋体" w:cs="宋体"/>
                <w:szCs w:val="21"/>
              </w:rPr>
              <w:t>等</w:t>
            </w:r>
          </w:p>
        </w:tc>
        <w:tc>
          <w:tcPr>
            <w:tcW w:w="68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54"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1618" w:type="dxa"/>
            <w:noWra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98" w:type="dxa"/>
            <w:noWrap/>
            <w:vAlign w:val="center"/>
          </w:tcPr>
          <w:p>
            <w:pPr>
              <w:jc w:val="center"/>
              <w:rPr>
                <w:rFonts w:ascii="宋体" w:hAnsi="宋体" w:eastAsia="宋体" w:cs="宋体"/>
                <w:szCs w:val="21"/>
              </w:rPr>
            </w:pPr>
            <w:r>
              <w:rPr>
                <w:rFonts w:hint="eastAsia" w:ascii="宋体" w:hAnsi="宋体" w:eastAsia="宋体" w:cs="宋体"/>
                <w:szCs w:val="21"/>
              </w:rPr>
              <w:t>5</w:t>
            </w:r>
          </w:p>
        </w:tc>
        <w:tc>
          <w:tcPr>
            <w:tcW w:w="1244" w:type="dxa"/>
            <w:vAlign w:val="center"/>
          </w:tcPr>
          <w:p>
            <w:pPr>
              <w:jc w:val="center"/>
              <w:rPr>
                <w:rFonts w:ascii="宋体" w:hAnsi="宋体" w:eastAsia="宋体" w:cs="宋体"/>
                <w:szCs w:val="21"/>
              </w:rPr>
            </w:pPr>
            <w:r>
              <w:rPr>
                <w:rFonts w:hint="eastAsia" w:ascii="宋体" w:hAnsi="宋体" w:eastAsia="宋体" w:cs="宋体"/>
                <w:szCs w:val="21"/>
              </w:rPr>
              <w:t>国产Web应用中间件</w:t>
            </w:r>
          </w:p>
        </w:tc>
        <w:tc>
          <w:tcPr>
            <w:tcW w:w="930" w:type="dxa"/>
            <w:vAlign w:val="center"/>
          </w:tcPr>
          <w:p>
            <w:pPr>
              <w:jc w:val="center"/>
              <w:rPr>
                <w:rFonts w:ascii="宋体" w:hAnsi="宋体" w:eastAsia="宋体" w:cs="宋体"/>
                <w:szCs w:val="21"/>
              </w:rPr>
            </w:pPr>
            <w:r>
              <w:rPr>
                <w:rFonts w:hint="eastAsia" w:ascii="宋体" w:hAnsi="宋体" w:eastAsia="宋体" w:cs="宋体"/>
                <w:szCs w:val="21"/>
              </w:rPr>
              <w:t>中间件</w:t>
            </w:r>
          </w:p>
        </w:tc>
        <w:tc>
          <w:tcPr>
            <w:tcW w:w="2805" w:type="dxa"/>
            <w:vAlign w:val="center"/>
          </w:tcPr>
          <w:p>
            <w:pPr>
              <w:widowControl/>
              <w:jc w:val="left"/>
              <w:rPr>
                <w:kern w:val="0"/>
                <w:sz w:val="24"/>
              </w:rPr>
            </w:pPr>
            <w:r>
              <w:rPr>
                <w:rFonts w:hint="eastAsia" w:ascii="宋体" w:hAnsi="宋体" w:eastAsia="宋体" w:cs="宋体"/>
                <w:szCs w:val="21"/>
              </w:rPr>
              <w:t>符合JavaEE</w:t>
            </w:r>
            <w:r>
              <w:rPr>
                <w:rFonts w:ascii="宋体" w:hAnsi="宋体" w:eastAsia="宋体" w:cs="宋体"/>
                <w:szCs w:val="21"/>
              </w:rPr>
              <w:t xml:space="preserve"> JakartaEE</w:t>
            </w:r>
            <w:r>
              <w:rPr>
                <w:rFonts w:hint="eastAsia" w:ascii="宋体" w:hAnsi="宋体" w:eastAsia="宋体" w:cs="宋体"/>
                <w:szCs w:val="21"/>
              </w:rPr>
              <w:t>规范，通过</w:t>
            </w:r>
            <w:r>
              <w:rPr>
                <w:rFonts w:ascii="Helvetica Neue" w:hAnsi="Helvetica Neue"/>
                <w:color w:val="434343"/>
              </w:rPr>
              <w:t>JavaEE5/6/7/8</w:t>
            </w:r>
            <w:r>
              <w:rPr>
                <w:rFonts w:hint="eastAsia" w:ascii="Helvetica Neue" w:hAnsi="Helvetica Neue"/>
                <w:color w:val="434343"/>
              </w:rPr>
              <w:t>技术标准认证，支持主流开发框架：S</w:t>
            </w:r>
            <w:r>
              <w:rPr>
                <w:rFonts w:ascii="Helvetica Neue" w:hAnsi="Helvetica Neue"/>
                <w:color w:val="434343"/>
              </w:rPr>
              <w:t>truts2</w:t>
            </w:r>
            <w:r>
              <w:rPr>
                <w:rFonts w:hint="eastAsia" w:ascii="Helvetica Neue" w:hAnsi="Helvetica Neue"/>
                <w:color w:val="434343"/>
              </w:rPr>
              <w:t>、spring、Hibernate、Springboot，支持集群等。</w:t>
            </w:r>
          </w:p>
          <w:p>
            <w:pPr>
              <w:jc w:val="center"/>
              <w:rPr>
                <w:rFonts w:ascii="宋体" w:hAnsi="宋体" w:eastAsia="宋体" w:cs="宋体"/>
                <w:szCs w:val="21"/>
              </w:rPr>
            </w:pPr>
          </w:p>
        </w:tc>
        <w:tc>
          <w:tcPr>
            <w:tcW w:w="68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654"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1618" w:type="dxa"/>
            <w:noWrap/>
          </w:tcPr>
          <w:p>
            <w:pPr>
              <w:rPr>
                <w:rFonts w:ascii="宋体" w:hAnsi="宋体" w:eastAsia="宋体" w:cs="宋体"/>
                <w:szCs w:val="21"/>
              </w:rPr>
            </w:pPr>
          </w:p>
        </w:tc>
      </w:tr>
    </w:tbl>
    <w:p/>
    <w:p>
      <w:pPr>
        <w:pStyle w:val="3"/>
        <w:numPr>
          <w:ilvl w:val="1"/>
          <w:numId w:val="2"/>
        </w:numPr>
        <w:spacing w:before="156" w:beforeLines="50" w:after="156" w:afterLines="50"/>
        <w:rPr>
          <w:rFonts w:ascii="宋体" w:hAnsi="宋体" w:eastAsia="宋体" w:cs="Times New Roman"/>
          <w:kern w:val="0"/>
          <w:sz w:val="28"/>
          <w:szCs w:val="28"/>
        </w:rPr>
      </w:pPr>
      <w:r>
        <w:rPr>
          <w:rFonts w:hint="eastAsia" w:ascii="宋体" w:hAnsi="宋体" w:eastAsia="宋体"/>
          <w:sz w:val="28"/>
          <w:szCs w:val="28"/>
        </w:rPr>
        <w:t>技术要求</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1、本次项目建设内容较多，涉及医院多个业务条线，投标人应具备较好的医疗信息化创新能力、开发能力和实施交付能力，并具备医疗信息化领域的质量管理、信息技术服务管理、信息安全管理等的全流程管理体系。</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w:t>
      </w:r>
      <w:r>
        <w:rPr>
          <w:rFonts w:hint="eastAsia" w:ascii="宋体" w:hAnsi="宋体" w:eastAsia="宋体" w:cs="Times New Roman (正文 CS 字体)"/>
          <w:sz w:val="24"/>
        </w:rPr>
        <w:t>、投标人应充分理解本次项目的建设内容和目标需求，提出符合医院实际应用需求的具有针对性的整体解决方案，并能对项目过程中的重难点做出分析，提出相应的技术应对方案并阐述自身优势。</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3</w:t>
      </w:r>
      <w:r>
        <w:rPr>
          <w:rFonts w:hint="eastAsia" w:ascii="宋体" w:hAnsi="宋体" w:eastAsia="宋体" w:cs="Times New Roman (正文 CS 字体)"/>
          <w:sz w:val="24"/>
        </w:rPr>
        <w:t>、本次项目应遵循《计算机软件文档编制规范》、《计算机软件需求规格说明规范》</w:t>
      </w:r>
      <w:r>
        <w:rPr>
          <w:rFonts w:ascii="宋体" w:hAnsi="宋体" w:eastAsia="宋体" w:cs="Times New Roman (正文 CS 字体)"/>
          <w:sz w:val="24"/>
        </w:rPr>
        <w:t>、</w:t>
      </w:r>
      <w:r>
        <w:rPr>
          <w:rFonts w:hint="eastAsia" w:ascii="宋体" w:hAnsi="宋体" w:eastAsia="宋体" w:cs="Times New Roman (正文 CS 字体)"/>
          <w:sz w:val="24"/>
        </w:rPr>
        <w:t>《计算机软件测试文档编制规范》、《计算机软件测试规范</w:t>
      </w:r>
      <w:r>
        <w:rPr>
          <w:rFonts w:ascii="宋体" w:hAnsi="宋体" w:eastAsia="宋体" w:cs="Times New Roman (正文 CS 字体)"/>
          <w:sz w:val="24"/>
        </w:rPr>
        <w:t>》</w:t>
      </w:r>
      <w:r>
        <w:rPr>
          <w:rFonts w:hint="eastAsia" w:ascii="宋体" w:hAnsi="宋体" w:eastAsia="宋体" w:cs="Times New Roman (正文 CS 字体)"/>
          <w:sz w:val="24"/>
        </w:rPr>
        <w:t>、《软件系统验收规范》、《软件系统验收规范》以及《信息技术软件维护》</w:t>
      </w:r>
      <w:r>
        <w:rPr>
          <w:rFonts w:ascii="宋体" w:hAnsi="宋体" w:eastAsia="宋体" w:cs="Times New Roman (正文 CS 字体)"/>
          <w:sz w:val="24"/>
        </w:rPr>
        <w:t>等</w:t>
      </w:r>
      <w:r>
        <w:rPr>
          <w:rFonts w:hint="eastAsia" w:ascii="宋体" w:hAnsi="宋体" w:eastAsia="宋体" w:cs="Times New Roman (正文 CS 字体)"/>
          <w:sz w:val="24"/>
        </w:rPr>
        <w:t>标准</w:t>
      </w:r>
      <w:r>
        <w:rPr>
          <w:rFonts w:ascii="宋体" w:hAnsi="宋体" w:eastAsia="宋体" w:cs="Times New Roman (正文 CS 字体)"/>
          <w:sz w:val="24"/>
        </w:rPr>
        <w:t>规范文件要求进行建设，</w:t>
      </w:r>
      <w:r>
        <w:rPr>
          <w:rFonts w:hint="eastAsia" w:ascii="宋体" w:hAnsi="宋体" w:eastAsia="宋体" w:cs="Times New Roman (正文 CS 字体)"/>
          <w:sz w:val="24"/>
        </w:rPr>
        <w:t>以达到统一管理、统一标准、互联互通的要求。投标人应具有标准制定能力，能够根据医院需要，在遵循国家、行业标准的基础上，进行相关标准的扩展。</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4、本次项目投标人还应充分考虑海南医学院第二附属医院现有系统的数据继承问题，确保现有系统数据可以继续使用。</w:t>
      </w:r>
    </w:p>
    <w:p>
      <w:pPr>
        <w:spacing w:before="156" w:beforeLines="50" w:after="156" w:afterLines="50" w:line="360" w:lineRule="auto"/>
        <w:ind w:firstLine="480" w:firstLineChars="200"/>
        <w:rPr>
          <w:rFonts w:ascii="宋体" w:hAnsi="宋体" w:eastAsia="宋体" w:cs="Times New Roman (正文 CS 字体)"/>
          <w:color w:val="00B0F0"/>
          <w:sz w:val="24"/>
        </w:rPr>
      </w:pPr>
      <w:r>
        <w:rPr>
          <w:rFonts w:hint="eastAsia" w:ascii="宋体" w:hAnsi="宋体" w:eastAsia="宋体" w:cs="Times New Roman (正文 CS 字体)"/>
          <w:sz w:val="24"/>
        </w:rPr>
        <w:t>5、系统应充分考虑医院信息化扩展需求，采用开放式的系统软件平台、模块化的应用软件结构。为响应国家信创政策，基于医院未来发展需要考虑，本次项目建设的主要内容</w:t>
      </w:r>
      <w:r>
        <w:rPr>
          <w:rFonts w:hint="eastAsia" w:ascii="宋体" w:hAnsi="宋体" w:eastAsia="宋体" w:cs="Times New Roman (正文 CS 字体)"/>
          <w:color w:val="00B0F0"/>
          <w:sz w:val="24"/>
        </w:rPr>
        <w:t>医院科研管理系统项目的投标产品应能兼容数据库管理软件、服务器操作系统等国产化基础软件。</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6、本次项目涉及的系统产生或利用的数据涉及到大量患者隐私，投标人应做好相应的信息安全保障设计，应具备医疗卫生信息数据的安全应用软件开发能力和医疗卫生数据加密处理能力。</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7、投标人应具备高性能医疗卫生软件的开发能力，投标产品应充分考虑到医院大业务量环境下的运行效率。</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8、项目实施期间，如因政策变化或医院管理流程变更的原因，需要对系统进行相应的客户化修改，投标人须无条件满足。</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9、为确保项目交付后系统的稳定可靠运行，投标人中标交付后需要提供专业的售后服务，投标人应具备较好的医院软件运维信息化管理能力和服务体系。</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10</w:t>
      </w:r>
      <w:r>
        <w:rPr>
          <w:rFonts w:hint="eastAsia" w:ascii="宋体" w:hAnsi="宋体" w:eastAsia="宋体" w:cs="Times New Roman (正文 CS 字体)"/>
          <w:sz w:val="24"/>
        </w:rPr>
        <w:t>、投标人在项目实施及服务过程中，应遵循知识产权管理体系做好文档管理工作，在项目验收时进行相关文档的移交，文档资料必须符合软件工程的相关要求，并提供明确的交付清单。</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1</w:t>
      </w:r>
      <w:r>
        <w:rPr>
          <w:rFonts w:ascii="宋体" w:hAnsi="宋体" w:eastAsia="宋体" w:cs="Times New Roman (正文 CS 字体)"/>
          <w:sz w:val="24"/>
        </w:rPr>
        <w:t>1</w:t>
      </w:r>
      <w:r>
        <w:rPr>
          <w:rFonts w:hint="eastAsia" w:ascii="宋体" w:hAnsi="宋体" w:eastAsia="宋体" w:cs="Times New Roman (正文 CS 字体)"/>
          <w:sz w:val="24"/>
        </w:rPr>
        <w:t>、数据互联互通：支持对接医院的集成平台做到数据的互联互通，如对接医院人事系统、财务系统、科研物资的采购平台，能够直接实现把采购的经费数据传输到科研管理系统中以达到采购经费的规范化要求符合后期结题审计要求。</w:t>
      </w:r>
    </w:p>
    <w:p>
      <w:pPr>
        <w:pStyle w:val="3"/>
        <w:numPr>
          <w:ilvl w:val="1"/>
          <w:numId w:val="2"/>
        </w:numPr>
        <w:spacing w:before="156" w:beforeLines="50" w:after="156" w:afterLines="50"/>
        <w:rPr>
          <w:rFonts w:ascii="宋体" w:hAnsi="宋体" w:eastAsia="宋体" w:cs="Times New Roman (正文 CS 字体)"/>
          <w:sz w:val="28"/>
          <w:szCs w:val="28"/>
        </w:rPr>
      </w:pPr>
      <w:r>
        <w:rPr>
          <w:rFonts w:hint="eastAsia" w:ascii="宋体" w:hAnsi="宋体" w:eastAsia="宋体"/>
          <w:sz w:val="28"/>
          <w:szCs w:val="28"/>
        </w:rPr>
        <w:t>建设依据</w:t>
      </w:r>
    </w:p>
    <w:p>
      <w:pPr>
        <w:numPr>
          <w:ilvl w:val="0"/>
          <w:numId w:val="3"/>
        </w:numPr>
        <w:spacing w:before="156" w:beforeLines="50" w:after="156" w:afterLines="50" w:line="360" w:lineRule="auto"/>
        <w:rPr>
          <w:rFonts w:ascii="宋体" w:hAnsi="宋体" w:eastAsia="宋体" w:cs="Times New Roman (正文 CS 字体)"/>
          <w:sz w:val="24"/>
        </w:rPr>
      </w:pPr>
      <w:r>
        <w:rPr>
          <w:rFonts w:ascii="宋体" w:hAnsi="宋体" w:eastAsia="宋体" w:cs="Times New Roman (正文 CS 字体)"/>
          <w:sz w:val="24"/>
        </w:rPr>
        <w:t>政策法规</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《中华人民共和国基本医疗卫生法》；</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《国家卫生健康委医疗器械行政许可实施办法》；</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《医院信息系统成熟度模型》；</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《健康信息标准化三年行动计划》；</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《中华人民共和国计算机信息网络国际联网安全保护管理办法》；</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《中华人民共和国个人信息保护法》；</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《信息化促进医疗卫生发展行动计划》；</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《“健康中国2030”规划纲要》；</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《中华人民共和国网络安全法》；</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《医疗器械监督管理条例》；</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《电子政务电子认证服务管理办法》；</w:t>
      </w:r>
    </w:p>
    <w:p>
      <w:pPr>
        <w:spacing w:before="156" w:beforeLines="50" w:after="156" w:afterLines="50" w:line="360" w:lineRule="auto"/>
        <w:rPr>
          <w:rFonts w:ascii="宋体" w:hAnsi="宋体" w:eastAsia="宋体" w:cs="Times New Roman (正文 CS 字体)"/>
          <w:sz w:val="24"/>
        </w:rPr>
      </w:pPr>
      <w:r>
        <w:rPr>
          <w:rFonts w:ascii="宋体" w:hAnsi="宋体" w:eastAsia="宋体" w:cs="Times New Roman (正文 CS 字体)"/>
          <w:sz w:val="24"/>
        </w:rPr>
        <w:t>2</w:t>
      </w:r>
      <w:r>
        <w:rPr>
          <w:rFonts w:hint="eastAsia" w:ascii="宋体" w:hAnsi="宋体" w:eastAsia="宋体" w:cs="Times New Roman (正文 CS 字体)"/>
          <w:sz w:val="24"/>
        </w:rPr>
        <w:t>、</w:t>
      </w:r>
      <w:r>
        <w:rPr>
          <w:rFonts w:ascii="宋体" w:hAnsi="宋体" w:eastAsia="宋体" w:cs="Times New Roman (正文 CS 字体)"/>
          <w:sz w:val="24"/>
        </w:rPr>
        <w:t>标准规范</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IT技术标准协议：HTTP/HTTPS（超文本传输协议/安全）、TCP / IP（传输控制协议 / 因特网协议）、RESTful</w:t>
      </w:r>
      <w:r>
        <w:rPr>
          <w:rFonts w:hint="eastAsia" w:ascii="宋体" w:hAnsi="宋体" w:eastAsia="宋体" w:cs="Times New Roman (正文 CS 字体)"/>
          <w:sz w:val="24"/>
        </w:rPr>
        <w:t xml:space="preserve"> </w:t>
      </w:r>
      <w:r>
        <w:rPr>
          <w:rFonts w:ascii="宋体" w:hAnsi="宋体" w:eastAsia="宋体" w:cs="Times New Roman (正文 CS 字体)"/>
          <w:sz w:val="24"/>
        </w:rPr>
        <w:t>API、JSON（JavaScript Object Notation）、SSO（Single Sign On）、SSL/TLS等</w:t>
      </w:r>
      <w:r>
        <w:rPr>
          <w:rFonts w:hint="eastAsia" w:ascii="宋体" w:hAnsi="宋体" w:eastAsia="宋体" w:cs="Times New Roman (正文 CS 字体)"/>
          <w:sz w:val="24"/>
        </w:rPr>
        <w:t>；</w:t>
      </w:r>
    </w:p>
    <w:p>
      <w:pPr>
        <w:spacing w:before="156" w:beforeLines="50" w:after="156" w:afterLines="50" w:line="360" w:lineRule="auto"/>
        <w:rPr>
          <w:rFonts w:ascii="宋体" w:hAnsi="宋体" w:eastAsia="宋体" w:cs="Times New Roman (正文 CS 字体)"/>
          <w:sz w:val="24"/>
        </w:rPr>
      </w:pPr>
      <w:r>
        <w:rPr>
          <w:rFonts w:hint="eastAsia" w:ascii="宋体" w:hAnsi="宋体" w:eastAsia="宋体" w:cs="Times New Roman (正文 CS 字体)"/>
          <w:sz w:val="24"/>
        </w:rPr>
        <w:t>3、</w:t>
      </w:r>
      <w:r>
        <w:rPr>
          <w:rFonts w:ascii="宋体" w:hAnsi="宋体" w:eastAsia="宋体" w:cs="Times New Roman (正文 CS 字体)"/>
          <w:sz w:val="24"/>
        </w:rPr>
        <w:t>软件工程</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25000.51-2016 《系统与软件工程系统与软件质量要求和评价》；</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8566-2022 《系统与软件工程 软件生存周期过程》；</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22080-2008 《软件过程定量管理和软件过程性能衡量模型》；</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27916-2011 《系统与软件工程 生命周期配置管理》；</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27089-2011 《软件开发活动度量规范》；</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16398-1996 《软件测试方法》；</w:t>
      </w:r>
    </w:p>
    <w:p>
      <w:pPr>
        <w:spacing w:before="156" w:beforeLines="50" w:after="156" w:afterLines="50"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GB/T 16273-1996 《计算机软件文档规范》。</w:t>
      </w:r>
    </w:p>
    <w:p>
      <w:pPr>
        <w:pStyle w:val="3"/>
        <w:numPr>
          <w:ilvl w:val="1"/>
          <w:numId w:val="2"/>
        </w:numPr>
        <w:spacing w:before="156" w:beforeLines="50" w:after="156" w:afterLines="50"/>
        <w:rPr>
          <w:rFonts w:ascii="宋体" w:hAnsi="宋体" w:eastAsia="宋体"/>
          <w:sz w:val="28"/>
          <w:szCs w:val="28"/>
        </w:rPr>
      </w:pPr>
      <w:r>
        <w:rPr>
          <w:rFonts w:hint="eastAsia" w:ascii="宋体" w:hAnsi="宋体" w:eastAsia="宋体"/>
          <w:sz w:val="28"/>
          <w:szCs w:val="28"/>
        </w:rPr>
        <w:t>功能要求</w:t>
      </w:r>
    </w:p>
    <w:p>
      <w:pPr>
        <w:pStyle w:val="4"/>
        <w:numPr>
          <w:ilvl w:val="2"/>
          <w:numId w:val="2"/>
        </w:numPr>
        <w:spacing w:before="156" w:beforeLines="50" w:after="156" w:afterLines="50"/>
        <w:ind w:left="0"/>
        <w:rPr>
          <w:rFonts w:ascii="宋体" w:hAnsi="宋体" w:eastAsia="宋体" w:cs="Times New Roman (正文 CS 字体)"/>
          <w:sz w:val="28"/>
          <w:szCs w:val="28"/>
        </w:rPr>
      </w:pPr>
      <w:r>
        <w:rPr>
          <w:rFonts w:hint="eastAsia" w:ascii="宋体" w:hAnsi="宋体" w:eastAsia="宋体"/>
          <w:sz w:val="24"/>
          <w:szCs w:val="24"/>
        </w:rPr>
        <w:t>科研办公管理</w:t>
      </w:r>
      <w:r>
        <w:rPr>
          <w:rFonts w:hint="eastAsia" w:ascii="宋体" w:hAnsi="宋体" w:eastAsia="宋体"/>
          <w:sz w:val="28"/>
          <w:szCs w:val="28"/>
        </w:rPr>
        <w:t xml:space="preserve">     </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通知公告</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系统支持通知公告的发布，拥有科研公示公告和科研项目申报通知，能够通过的栏目能够进入详细数据处理界面。</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下载中心</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系统支持管理项目申报指南，相关政策法规及相关技术类文档的上传和下载，科研管理人员具备上传功能，普通人员可以进行在线浏览与下载。</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消息提醒</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系统支持管理项目申报指南，相关政策法规及相关技术类文档的上传和下载，科研管理人员具备上传功能，普通人员可以进行在线浏览与下载。</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▲任务管理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系统拥有待处理任务列表和已处理任务列表，用户可通过待办任务快速处理科研待办事件，通过已办任务快速查询已办科研事件。</w:t>
      </w:r>
    </w:p>
    <w:p>
      <w:pPr>
        <w:pStyle w:val="4"/>
        <w:numPr>
          <w:ilvl w:val="2"/>
          <w:numId w:val="2"/>
        </w:numPr>
        <w:spacing w:before="156" w:beforeLines="50" w:after="156" w:afterLines="50"/>
        <w:ind w:left="0"/>
        <w:rPr>
          <w:rFonts w:ascii="宋体" w:hAnsi="宋体" w:eastAsia="宋体" w:cs="Times New Roman (正文 CS 字体)"/>
          <w:sz w:val="28"/>
          <w:szCs w:val="28"/>
        </w:rPr>
      </w:pPr>
      <w:r>
        <w:rPr>
          <w:rFonts w:hint="eastAsia" w:ascii="宋体" w:hAnsi="宋体" w:eastAsia="宋体" w:cs="Times New Roman (正文 CS 字体)"/>
          <w:sz w:val="28"/>
          <w:szCs w:val="28"/>
        </w:rPr>
        <w:t>科研项目管理（</w:t>
      </w:r>
      <w:r>
        <w:rPr>
          <w:rFonts w:hint="eastAsia" w:ascii="宋体" w:hAnsi="宋体" w:eastAsia="宋体" w:cs="宋体"/>
          <w:kern w:val="0"/>
        </w:rPr>
        <w:t>纵向项目、横向项目、院级项目</w:t>
      </w:r>
      <w:r>
        <w:rPr>
          <w:rFonts w:hint="eastAsia" w:ascii="宋体" w:hAnsi="宋体" w:eastAsia="宋体" w:cs="Times New Roman (正文 CS 字体)"/>
          <w:sz w:val="28"/>
          <w:szCs w:val="28"/>
        </w:rPr>
        <w:t>）</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项目申报</w:t>
      </w:r>
    </w:p>
    <w:p>
      <w:pPr>
        <w:spacing w:before="156" w:beforeLines="50" w:after="156" w:afterLines="50" w:line="360" w:lineRule="auto"/>
        <w:ind w:firstLine="420"/>
        <w:rPr>
          <w:rFonts w:ascii="宋体" w:hAnsi="宋体" w:eastAsia="宋体" w:cs="Times New Roman (正文 CS 字体)"/>
          <w:sz w:val="24"/>
        </w:rPr>
      </w:pPr>
      <w:r>
        <w:rPr>
          <w:rFonts w:hint="eastAsia" w:ascii="宋体" w:hAnsi="宋体" w:eastAsia="宋体" w:cs="Times New Roman (正文 CS 字体)"/>
          <w:sz w:val="24"/>
        </w:rPr>
        <w:t>系统支持纵向项目申报功能，系统管理员可配置纵向项目申报计划，限定申报人条件和申报时间等。科研人员可进入查看申报信息，在允许申报的时间段以内进行项目申报，填写申报信息，上传申报材料。</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申报形审</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科研人员提交项目申报信息，二级单位和科研管理部门能实现对申报信息进行资格审查和形式审查，包括申报人条件、申报人已参与项目情况等。</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▲评审管理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项目评审指对于申报结束的项目，可实现医院组织专家对其进行在线评审。由科研管理部门配置专家库(组)、制定纵向项目评审方案、建立纵向项目评审计划，为在线评审做好铺垫。</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▲在线评审</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实现所需评审的项目指派专家，并向专家发送评审通知。专家接收通知后可登录系统在线评审，打出评审得分在，撰写评审意见。</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项目立项</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对上级单位已立项的项目信息进行有效管理。纵向项目的立项信息支持增删改、立项审核、列表导入、列表导出、列表查询、表单导入、表单导出和表单打印等功能。其中表单导入支持word、PDF导入，通过预定义解析已有的项目任务书，并自动填写表格。自动填写准确率95%以上。列表导入支持通过Excel批量导入，一次性处理数据1000行。</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项目进展</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人员在系统中填写纵向项目的进展信息，包含项目基本信息，项目完成情况，已取得的研究产出，下一步工作安排，经费使用情况，已上传的年度报告等信息。纵向项目的进展信息支持增删改、进展审核、列表导入、列表导出、列表查询、表单导入、表单导出和表单打印等功能。</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项目变更</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在项目管理过程中，需要实现对项目的相关信息发生变更。支持项目负责人对项目信息、项目成员、项目预算等信息提出项目变更申请，项目管理员对变更申请审查后，批准变更。纵向项目的变更信息支持增删改、进展审核、列表导入、列表导出、列表查询、表单导入、表单导出和表单打印等功能。</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项目结题</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同步科研人员在上级单位系统已填写的项目结题信息，已上传的结题报告等内容。纵向项目的结题信息支持增删改、进展审核、列表导入、列表导出、列表查询、表单导入、表单导出和表单打印等功能。</w:t>
      </w:r>
    </w:p>
    <w:p>
      <w:pPr>
        <w:pStyle w:val="4"/>
        <w:numPr>
          <w:ilvl w:val="2"/>
          <w:numId w:val="2"/>
        </w:numPr>
        <w:spacing w:before="156" w:beforeLines="50" w:after="156" w:afterLines="50"/>
        <w:ind w:left="0"/>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lang w:eastAsia="zh-Hans"/>
        </w:rPr>
        <w:t>科研经费管理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经费管理是科研管理中的重要组成部分，实现科研项目的经费管理。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经费到账通知</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经费到账时，财务部门做到账登记，实现由科研管理部门将到账经费分配到具体的科研项目中，由科研管理部门和财务部门先后审核确认。</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经费预算管理</w:t>
      </w:r>
    </w:p>
    <w:p>
      <w:pPr>
        <w:adjustRightInd w:val="0"/>
        <w:snapToGrid w:val="0"/>
        <w:spacing w:line="360" w:lineRule="auto"/>
        <w:ind w:firstLine="420"/>
        <w:rPr>
          <w:rFonts w:ascii="宋体" w:hAnsi="宋体" w:eastAsia="宋体" w:cs="Times New Roman (正文 CS 字体)"/>
          <w:sz w:val="24"/>
        </w:rPr>
      </w:pPr>
      <w:r>
        <w:rPr>
          <w:rFonts w:hint="eastAsia" w:ascii="宋体" w:hAnsi="宋体" w:eastAsia="宋体" w:cs="Times New Roman (正文 CS 字体)"/>
          <w:sz w:val="24"/>
        </w:rPr>
        <w:t>科研负责人在线填写到账的项目和预算信息，财务科目支持固定比例或自定义金额，填写完成后交由科研管理部门和财务部门门审核确认。</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经费预算调整</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科研负责人对已填写的预算信息重新修改调整，调整后需交由科研管理部门和财务部门审核确认。</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经费报销管理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经费报销时，对每个科研项目的经费进行登记支出，经费报销需要由科研管理部门和财务部门共同审核确认。科研项目的经费报销数据信息支持智能计算，按照财务科目自动计算得出累计报销金额，科目剩余金额。</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经费查询统计</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记录每个科研项目的预算信息，每一笔的报销明细信息和汇总信息。包含各项类目支出情况总支出情况、各项类目预算剩余情况、总剩余金额等。</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OA系统/财务对接</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系统支持与OA系统对接，保障院领导审批方式的不变和审批过程的流畅性。支持与财务系统对接，可获得财务系统提供的经费到账通知和经费信息，也可同步预算信息和报销信息至财务系统中。</w:t>
      </w:r>
    </w:p>
    <w:p>
      <w:pPr>
        <w:pStyle w:val="4"/>
        <w:numPr>
          <w:ilvl w:val="2"/>
          <w:numId w:val="2"/>
        </w:numPr>
        <w:spacing w:before="156" w:beforeLines="50" w:after="156" w:afterLines="50"/>
        <w:ind w:left="0"/>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lang w:eastAsia="zh-Hans"/>
        </w:rPr>
        <w:t>科研成果</w:t>
      </w:r>
      <w:r>
        <w:rPr>
          <w:rFonts w:hint="eastAsia" w:ascii="宋体" w:hAnsi="宋体" w:eastAsia="宋体" w:cs="Times New Roman (正文 CS 字体)"/>
          <w:sz w:val="24"/>
          <w:szCs w:val="24"/>
        </w:rPr>
        <w:t>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科研成果管理是科研管理的核心之一，用于实现系统对论文成果、专利成果、成果获奖、著作成果、知识产权及成果转化进行管理。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论文成果管理</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1.6.4.1.1▲论文投稿管理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在发表论文之前</w:t>
      </w:r>
      <w:r>
        <w:rPr>
          <w:rFonts w:hint="eastAsia" w:ascii="宋体" w:hAnsi="宋体" w:eastAsia="宋体" w:cs="Times New Roman (正文 CS 字体)"/>
          <w:sz w:val="24"/>
          <w:lang w:eastAsia="zh-Hans"/>
        </w:rPr>
        <w:t>支持</w:t>
      </w:r>
      <w:r>
        <w:rPr>
          <w:rFonts w:hint="eastAsia" w:ascii="宋体" w:hAnsi="宋体" w:eastAsia="宋体" w:cs="Times New Roman (正文 CS 字体)"/>
          <w:sz w:val="24"/>
        </w:rPr>
        <w:t>先由科研人员做论文投稿申请，经科研处审核确认是否准予投稿。审核期间，系统会智能判断投稿期刊是否为预警期刊，并给出科研人员和科研管理部门相应的提示。</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1.6.4.1.2论文成果信息</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论文成果信息支持与科研项目关联，科研人员填写已发表或已见刊的论文成果信息，由科研管理部门审核确认其真实性，审核通过后归档至科研档案中。</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专利成果管理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专利成果管理是对项目转化后的专利数据进行管理，不对专利申报过程进行管理。专利成果信息支持与科研项目关联，由科研人员填写，科研管理部门审核确认其真实性，审核通过后归档至科研档案中。</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获奖成果管理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获奖成果是指组织成果进行报奖后获奖情况的管理。获奖成果信息支持与科研项目关联，当科研人员填写已获得的获奖信息后，由科研管理部门审核确认，审核通过后归档至科研档案中。</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著作成果管理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科研人员填写已出版的著作成果信息。</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著作成果信息支持与科研项目管理，科研人员提交著作成果信息后，由科研管理部门审核确认其真实性，审核通过后归档至科研档案中。</w:t>
      </w:r>
    </w:p>
    <w:p>
      <w:pPr>
        <w:pStyle w:val="4"/>
        <w:numPr>
          <w:ilvl w:val="2"/>
          <w:numId w:val="2"/>
        </w:numPr>
        <w:spacing w:before="156" w:beforeLines="50" w:after="156" w:afterLines="50"/>
        <w:ind w:left="0"/>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lang w:eastAsia="zh-Hans"/>
        </w:rPr>
        <w:t>学术活动管理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学术团体任职管理</w:t>
      </w:r>
    </w:p>
    <w:p>
      <w:pPr>
        <w:spacing w:before="156" w:beforeLines="50" w:after="156" w:afterLines="50" w:line="360" w:lineRule="auto"/>
        <w:ind w:firstLine="480" w:firstLineChars="200"/>
        <w:rPr>
          <w:rFonts w:ascii="宋体" w:hAnsi="宋体" w:eastAsia="宋体" w:cs="Times New Roman (正文 CS 字体)"/>
          <w:sz w:val="24"/>
          <w:lang w:eastAsia="zh-Hans"/>
        </w:rPr>
      </w:pPr>
      <w:r>
        <w:rPr>
          <w:rFonts w:hint="eastAsia" w:ascii="宋体" w:hAnsi="宋体" w:eastAsia="宋体" w:cs="Times New Roman (正文 CS 字体)"/>
          <w:sz w:val="24"/>
        </w:rPr>
        <w:t>构建医院学术团体有助于医院科研机构更好地管理和记录科研人员在学术团体的任职情况，促进学术团体的交流与合作，提升科研人员的学术影响力和发展空间。</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1.6.5.1.1学术团体信息管理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由科研人员发起学术团体的建设流程，提供学术团体名称、成立时间、组织架构等信息，便于对院内的学术团体进行整体管理。</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1.6.5.1.2学术团体任职情况</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记录科研人员在学术团体的任职情况，包括姓名、科室、学会名称、专科分会名称专业、任职、任期等信息，由科研管理部门审核确认，审核通过的学术团体任职信息归档至科研档案中。</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1.6.5.1.3任职信息提醒</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科研人员的快到任期或待换届选举时，系统通过系统、短信、邮件自动通知学术团体成员，确保及时了解任职情况。</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学术期刊任职管理</w:t>
      </w:r>
    </w:p>
    <w:p>
      <w:pPr>
        <w:spacing w:before="156" w:beforeLines="50" w:after="156" w:afterLines="50" w:line="360" w:lineRule="auto"/>
        <w:ind w:firstLine="480" w:firstLineChars="200"/>
        <w:rPr>
          <w:rFonts w:ascii="宋体" w:hAnsi="宋体" w:eastAsia="宋体" w:cs="Times New Roman (正文 CS 字体)"/>
          <w:sz w:val="24"/>
          <w:lang w:eastAsia="zh-Hans"/>
        </w:rPr>
      </w:pPr>
      <w:r>
        <w:rPr>
          <w:rFonts w:hint="eastAsia" w:ascii="宋体" w:hAnsi="宋体" w:eastAsia="宋体" w:cs="Times New Roman (正文 CS 字体)"/>
          <w:sz w:val="24"/>
        </w:rPr>
        <w:t>科研人员在线填写学术期刊任职信息，科研管理部门审核确认其真实性和准确性，审核通过后科研人员的学术期刊任职信息归档至科研档案中。</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Times New Roman" w:hAnsi="Times New Roman"/>
        </w:rPr>
        <w:t>▲</w:t>
      </w:r>
      <w:r>
        <w:rPr>
          <w:rFonts w:hint="eastAsia" w:ascii="宋体" w:hAnsi="宋体" w:eastAsia="宋体" w:cs="Times New Roman (正文 CS 字体)"/>
          <w:sz w:val="24"/>
          <w:szCs w:val="24"/>
        </w:rPr>
        <w:t>举办或参与重大学术会议</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1.6.5.3.1举办重大学术会议</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通过系统可以申请主办学术会议，在线填写医院会议备案表，由科研管理部门审核确认后，举办科室可开展学术会议，同时审核通过后的参会信息需归档至科研档案中。</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1.6.5.3.2参与重大学术会议</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科研人员对参与的重大学术会议情况进行记录和反馈，科研管理部门审核确认真实性和准确性后，参会情况需归档至科研档案中。</w:t>
      </w:r>
    </w:p>
    <w:p>
      <w:pPr>
        <w:pStyle w:val="4"/>
        <w:numPr>
          <w:ilvl w:val="2"/>
          <w:numId w:val="2"/>
        </w:numPr>
        <w:spacing w:before="156" w:beforeLines="50" w:after="156" w:afterLines="50"/>
        <w:ind w:left="0"/>
        <w:rPr>
          <w:rFonts w:ascii="宋体" w:hAnsi="宋体" w:eastAsia="宋体" w:cs="Times New Roman (正文 CS 字体)"/>
          <w:sz w:val="24"/>
          <w:szCs w:val="24"/>
        </w:rPr>
      </w:pPr>
      <w:r>
        <w:rPr>
          <w:rFonts w:hint="eastAsia" w:ascii="宋体" w:hAnsi="宋体" w:eastAsia="宋体" w:cs="Times New Roman (正文 CS 字体)"/>
          <w:sz w:val="24"/>
          <w:szCs w:val="24"/>
        </w:rPr>
        <w:t>科研事记管理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记录科研管理部门、各个临床科室为医院科研建设投入的辛苦与努力，从科研培训、科研会议、科研会动、科研日志等多个维度进行记录。</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▲科研培训管理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管理科研管理部门为全院或部分科研人员举办的科研培训事宜，详细记录科研培训的相关信息，并以列表、日历两种方式进行呈现。</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▲科研会议管理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记录科研管理部门记录为全院或部分科研人员开展的科研会议信息，记录科研人员参会的具体信息，支持以列表、日历两种方式进行记录。</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科研活动管理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记录科研管理部门记录为全院或部分科研人员开展的科研活动信息，记录科研人员参与活动的相关信息，通过列表、日历两种方式进行翻阅。</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▲科研日志管理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记录科研管理部门、科研人员的科研日志信息，记录每天的科研工作投入和科研相关信息，可以通过列表和日历两种形式展示。</w:t>
      </w:r>
    </w:p>
    <w:p>
      <w:pPr>
        <w:pStyle w:val="4"/>
        <w:numPr>
          <w:ilvl w:val="2"/>
          <w:numId w:val="2"/>
        </w:numPr>
        <w:spacing w:before="156" w:beforeLines="50" w:after="156" w:afterLines="50"/>
        <w:ind w:left="0"/>
        <w:rPr>
          <w:rFonts w:ascii="宋体" w:hAnsi="宋体" w:eastAsia="宋体" w:cs="Times New Roman (正文 CS 字体)"/>
          <w:sz w:val="24"/>
          <w:szCs w:val="24"/>
        </w:rPr>
      </w:pPr>
      <w:r>
        <w:rPr>
          <w:rFonts w:hint="eastAsia" w:ascii="宋体" w:hAnsi="宋体" w:eastAsia="宋体" w:cs="Times New Roman (正文 CS 字体)"/>
          <w:sz w:val="24"/>
          <w:szCs w:val="24"/>
        </w:rPr>
        <w:t>科研档案管理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个人科研档案</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个人科研档案，以科研信息功能，科研大屏画像、科研简历（名片）三种方式记录和呈现科研档案信息。</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 xml:space="preserve">1.6.7.1.1 </w:t>
      </w:r>
      <w:r>
        <w:rPr>
          <w:rFonts w:hint="eastAsia" w:ascii="宋体" w:hAnsi="宋体" w:eastAsia="宋体" w:cs="Times New Roman (正文 CS 字体)"/>
          <w:sz w:val="24"/>
        </w:rPr>
        <w:t>▲</w:t>
      </w:r>
      <w:r>
        <w:rPr>
          <w:rFonts w:hint="eastAsia" w:ascii="宋体" w:hAnsi="宋体" w:eastAsia="宋体" w:cs="Times New Roman"/>
          <w:sz w:val="24"/>
        </w:rPr>
        <w:t>个人科研档案信息</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从十个维度呈现个人科研档案信息，个人经历、科研简介、项目信息、论文信息、著作信息、专利信息、获奖信息、学术团体任职信息、期刊任职信息和重大学术参会信息，以上维度皆在各自的业务流程审核通过后自动生成。</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1.6.7.1.2个人科研档案管理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项目信息以纵向项目主持、纵向项目参与、横向项目主持、横向项目参与作为分类管理；论文信息以第一或通讯作者论文、非第一或通讯作者论文进行分类管理；获奖成果信息以担任主要完成人获奖成果，非担任主要完成人获奖成果有效分类管理；专利成果信息则以担任主要发明人专利，担任非主要发明人专利进行分类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科室科研档案</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1.6.7.2.1 ▲科室科研档案信息</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多维呈现科室科研大屏画像信息，科室人员项目信息、科室人员论文信息、科室人员著作信息、科室人员专利信息、科室人员获奖信息、科室人员学术团体任职信息、科室人员期刊任职信息和科室人员参与重大学术会议信息。</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1.6.7.2.2科室科研档案管理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根据科研人员所在科室，自动生成科研信息的排行榜，科室科研汇总统计信息及明细，其中科研画像的信息、内容、排版、布局、色泽需按照医院的风格和科研管理部门的需求进行灵活配置。</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全院科研档案</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1.6.7.3.1▲全院科研档案信息</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从多个维度呈现全院科研大屏画像信息，全院项目信息、全院论文信息、全院著作信息、全院专利信息、全院获奖信息、全院学术团体任职信息、全院期刊任职信息和全院参与重大学术会议信息。</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1.6.7.3.2全院科研档案管理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根据全院各个科室的科研信息，自动生成各个科室科研信息排行榜，全院科研汇总统计信息及明细；科研画像的信息、内容、排版、布局、色泽需按照医院风格和科研管理部门的需求进行灵活配置。</w:t>
      </w:r>
    </w:p>
    <w:p>
      <w:pPr>
        <w:pStyle w:val="4"/>
        <w:numPr>
          <w:ilvl w:val="2"/>
          <w:numId w:val="2"/>
        </w:numPr>
        <w:spacing w:before="156" w:beforeLines="50" w:after="156" w:afterLines="50"/>
        <w:ind w:left="0"/>
        <w:rPr>
          <w:rFonts w:ascii="宋体" w:hAnsi="宋体" w:eastAsia="宋体" w:cs="Times New Roman (正文 CS 字体)"/>
          <w:sz w:val="24"/>
          <w:szCs w:val="24"/>
        </w:rPr>
      </w:pPr>
      <w:r>
        <w:rPr>
          <w:rFonts w:hint="eastAsia" w:ascii="宋体" w:hAnsi="宋体" w:eastAsia="宋体" w:cs="Times New Roman (正文 CS 字体)"/>
          <w:sz w:val="24"/>
          <w:szCs w:val="24"/>
        </w:rPr>
        <w:t>科研决策支持</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▲固定查询报表</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系统拥有项目申报、申报评审、项目立项、项目进展、项目变更、项目结题、综合查询等全项目流程跟踪的固定查询，论文成果、著作成果、专利成果、获奖成果等多种科研成果信息记录的固定查询报表。固定查询报表满足涉及科研人员、科研项目、申报报表、项目经费、科研成果、学术活动等科研业务。同时，系统应</w:t>
      </w:r>
      <w:r>
        <w:rPr>
          <w:rFonts w:hint="eastAsia" w:ascii="宋体" w:hAnsi="宋体" w:eastAsia="宋体" w:cs="Times New Roman (正文 CS 字体)"/>
          <w:sz w:val="24"/>
          <w:lang w:eastAsia="zh-Hans"/>
        </w:rPr>
        <w:t>支持</w:t>
      </w:r>
      <w:r>
        <w:rPr>
          <w:rFonts w:hint="eastAsia" w:ascii="宋体" w:hAnsi="宋体" w:eastAsia="宋体" w:cs="Times New Roman (正文 CS 字体)"/>
          <w:sz w:val="24"/>
        </w:rPr>
        <w:t>强大的报表打印功能，支持柱状图、饼状图的自动生成且有各个科室的总分排名。</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▲自定义查询报表</w:t>
      </w:r>
    </w:p>
    <w:p>
      <w:pPr>
        <w:spacing w:before="156" w:beforeLines="50" w:after="156" w:afterLines="50" w:line="360" w:lineRule="auto"/>
        <w:ind w:firstLine="480" w:firstLineChars="200"/>
      </w:pPr>
      <w:r>
        <w:rPr>
          <w:rFonts w:hint="eastAsia" w:ascii="宋体" w:hAnsi="宋体" w:eastAsia="宋体" w:cs="Times New Roman (正文 CS 字体)"/>
          <w:sz w:val="24"/>
        </w:rPr>
        <w:t>用户可根据实际业务需求开展自定义查询、多维组合关系查询，</w:t>
      </w:r>
      <w:r>
        <w:rPr>
          <w:rFonts w:hint="eastAsia"/>
          <w:sz w:val="24"/>
        </w:rPr>
        <w:t>一次组合查询可在10秒内响应查询结果。</w:t>
      </w:r>
      <w:r>
        <w:rPr>
          <w:rFonts w:hint="eastAsia" w:ascii="宋体" w:hAnsi="宋体" w:eastAsia="宋体" w:cs="Times New Roman (正文 CS 字体)"/>
          <w:sz w:val="24"/>
        </w:rPr>
        <w:t>筛选条件、查询字段、导出信息都支持自定义配置，查询结果的需提供直观的报表展示。</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▲可视化数据分析</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根据系统内的相关科研数据进行统计、汇总并形成相关大屏展示（动态数据获取、显示）。</w:t>
      </w:r>
    </w:p>
    <w:p>
      <w:pPr>
        <w:pStyle w:val="4"/>
        <w:numPr>
          <w:ilvl w:val="2"/>
          <w:numId w:val="2"/>
        </w:numPr>
        <w:spacing w:before="156" w:beforeLines="50" w:after="156" w:afterLines="50"/>
        <w:ind w:left="0"/>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科研资源管理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科研人员管理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科研人员</w:t>
      </w:r>
      <w:r>
        <w:rPr>
          <w:rFonts w:hint="eastAsia" w:ascii="宋体" w:hAnsi="宋体" w:eastAsia="宋体" w:cs="Times New Roman (正文 CS 字体)"/>
          <w:sz w:val="24"/>
          <w:lang w:eastAsia="zh-Hans"/>
        </w:rPr>
        <w:t>管理</w:t>
      </w:r>
      <w:r>
        <w:rPr>
          <w:rFonts w:hint="eastAsia" w:ascii="宋体" w:hAnsi="宋体" w:eastAsia="宋体" w:cs="Times New Roman (正文 CS 字体)"/>
          <w:sz w:val="24"/>
        </w:rPr>
        <w:t>具备</w:t>
      </w:r>
      <w:r>
        <w:rPr>
          <w:rFonts w:hint="eastAsia" w:ascii="宋体" w:hAnsi="宋体" w:eastAsia="宋体" w:cs="Times New Roman (正文 CS 字体)"/>
          <w:sz w:val="24"/>
          <w:lang w:eastAsia="zh-Hans"/>
        </w:rPr>
        <w:t>对</w:t>
      </w:r>
      <w:r>
        <w:rPr>
          <w:rFonts w:hint="eastAsia" w:ascii="宋体" w:hAnsi="宋体" w:eastAsia="宋体" w:cs="Times New Roman (正文 CS 字体)"/>
          <w:sz w:val="24"/>
        </w:rPr>
        <w:t>从事科研工作的人员、科研管理人员、相关的科研辅助人员等各种人员的管理。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支持同院内人事系统对接，实时更新科研人员相关信息，也支持Excel列表导入同步。</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lang w:eastAsia="zh-Hans"/>
        </w:rPr>
        <w:t>在人员列表中，支持自动生成相关人员的科研</w:t>
      </w:r>
      <w:r>
        <w:rPr>
          <w:rFonts w:hint="eastAsia" w:ascii="宋体" w:hAnsi="宋体" w:eastAsia="宋体" w:cs="Times New Roman (正文 CS 字体)"/>
          <w:sz w:val="24"/>
        </w:rPr>
        <w:t>档案表和科研简历，且科研简历支持导出和在线打印。</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评审专家管理</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1.6.9.2.1评审专家信息</w:t>
      </w:r>
    </w:p>
    <w:p>
      <w:pPr>
        <w:spacing w:before="156" w:beforeLines="50" w:after="156" w:afterLines="50" w:line="360" w:lineRule="auto"/>
        <w:ind w:firstLine="480" w:firstLineChars="200"/>
        <w:rPr>
          <w:rFonts w:ascii="宋体" w:hAnsi="宋体" w:eastAsia="宋体" w:cs="Times New Roman (正文 CS 字体)"/>
          <w:sz w:val="24"/>
          <w:lang w:eastAsia="zh-Hans"/>
        </w:rPr>
      </w:pPr>
      <w:r>
        <w:rPr>
          <w:rFonts w:hint="eastAsia" w:ascii="宋体" w:hAnsi="宋体" w:eastAsia="宋体" w:cs="Times New Roman (正文 CS 字体)"/>
          <w:sz w:val="24"/>
          <w:lang w:eastAsia="zh-Hans"/>
        </w:rPr>
        <w:t>对各类科研专家</w:t>
      </w:r>
      <w:r>
        <w:rPr>
          <w:rFonts w:hint="eastAsia" w:ascii="宋体" w:hAnsi="宋体" w:eastAsia="宋体" w:cs="Times New Roman (正文 CS 字体)"/>
          <w:sz w:val="24"/>
        </w:rPr>
        <w:t>信息进行有效</w:t>
      </w:r>
      <w:r>
        <w:rPr>
          <w:rFonts w:hint="eastAsia" w:ascii="宋体" w:hAnsi="宋体" w:eastAsia="宋体" w:cs="Times New Roman (正文 CS 字体)"/>
          <w:sz w:val="24"/>
          <w:lang w:eastAsia="zh-Hans"/>
        </w:rPr>
        <w:t>管理，科研单位可以组建各类专家库，并对专家信息进行维护。</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1.6.9.2.2评审专家组</w:t>
      </w:r>
    </w:p>
    <w:p>
      <w:pPr>
        <w:spacing w:before="156" w:beforeLines="50" w:after="156" w:afterLines="50" w:line="360" w:lineRule="auto"/>
        <w:ind w:firstLine="480" w:firstLineChars="200"/>
        <w:rPr>
          <w:rFonts w:ascii="宋体" w:hAnsi="宋体" w:eastAsia="宋体" w:cs="Times New Roman (正文 CS 字体)"/>
          <w:sz w:val="24"/>
          <w:lang w:eastAsia="zh-Hans"/>
        </w:rPr>
      </w:pPr>
      <w:r>
        <w:rPr>
          <w:rFonts w:hint="eastAsia" w:ascii="宋体" w:hAnsi="宋体" w:eastAsia="宋体" w:cs="Times New Roman (正文 CS 字体)"/>
          <w:sz w:val="24"/>
        </w:rPr>
        <w:t>评审专家组由多个评审专家组成，项目的各个阶段都有可能需要多位专家在线上或线下开展评审商议，并得出评审结论，由评审专家组的评审小组组长填写评审汇总意见，反馈给科研管理部门。</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科研物资管理</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1.6.9.3.1科研物资信息</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支持对科研仪器、科研试剂、科研文献资料等物资的信息及库存管理，可对接院内采购系统，同步科研仪器、科研试剂、科研文献等信息和实时库存量。</w:t>
      </w:r>
    </w:p>
    <w:p>
      <w:pPr>
        <w:numPr>
          <w:ilvl w:val="255"/>
          <w:numId w:val="0"/>
        </w:numPr>
        <w:spacing w:line="360" w:lineRule="auto"/>
        <w:ind w:left="420"/>
        <w:rPr>
          <w:rFonts w:ascii="宋体" w:hAnsi="宋体" w:eastAsia="宋体" w:cs="Times New Roman"/>
          <w:sz w:val="24"/>
        </w:rPr>
      </w:pPr>
      <w:r>
        <w:rPr>
          <w:rFonts w:hint="eastAsia" w:ascii="宋体" w:hAnsi="宋体" w:eastAsia="宋体" w:cs="Times New Roman"/>
          <w:sz w:val="24"/>
        </w:rPr>
        <w:t>1.6.9.3.2科研物资管理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支持科研物资的盘点、借出、归还和分享等业务流程，实现科研物资的收益最大化管理。</w:t>
      </w:r>
    </w:p>
    <w:p>
      <w:pPr>
        <w:pStyle w:val="4"/>
        <w:numPr>
          <w:ilvl w:val="2"/>
          <w:numId w:val="2"/>
        </w:numPr>
        <w:spacing w:before="156" w:beforeLines="50" w:after="156" w:afterLines="50"/>
        <w:ind w:left="0"/>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科研配置管理</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系统人员管理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支持对使用系统的人员信息进行管理，包括帐号、基本信息和权限等内容，支持帐号的批量导入，能够对帐号密码进行初始化操作。</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系统角色管理</w:t>
      </w:r>
    </w:p>
    <w:p>
      <w:pPr>
        <w:spacing w:before="156" w:beforeLines="50" w:after="156" w:afterLines="50" w:line="360" w:lineRule="auto"/>
        <w:ind w:firstLine="480" w:firstLineChars="200"/>
        <w:rPr>
          <w:lang w:eastAsia="zh-Hans"/>
        </w:rPr>
      </w:pPr>
      <w:r>
        <w:rPr>
          <w:rFonts w:hint="eastAsia" w:ascii="宋体" w:hAnsi="宋体" w:eastAsia="宋体" w:cs="Times New Roman (正文 CS 字体)"/>
          <w:sz w:val="24"/>
        </w:rPr>
        <w:t>支持对系统中的角色权限进行动态分配，系统角色包括系统管理员、科研管理员、科研人员、评审专家、项目负责人、分管院长等等。</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系统流程管理</w:t>
      </w:r>
    </w:p>
    <w:p>
      <w:pPr>
        <w:spacing w:before="156" w:beforeLines="50" w:after="156" w:afterLines="50" w:line="360" w:lineRule="auto"/>
        <w:ind w:firstLine="480" w:firstLineChars="200"/>
        <w:rPr>
          <w:rFonts w:ascii="宋体" w:hAnsi="宋体" w:eastAsia="宋体" w:cs="Times New Roman (正文 CS 字体)"/>
          <w:sz w:val="24"/>
          <w:lang w:eastAsia="zh-Hans"/>
        </w:rPr>
      </w:pPr>
      <w:r>
        <w:rPr>
          <w:rFonts w:hint="eastAsia" w:ascii="宋体" w:hAnsi="宋体" w:eastAsia="宋体" w:cs="Times New Roman (正文 CS 字体)"/>
          <w:sz w:val="24"/>
        </w:rPr>
        <w:t>支持系统中涉及审核的功能都能够通过此模块动态设置审核流程，包括审核顺序、审核角色以及指定审核人。</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科室信息管理</w:t>
      </w:r>
    </w:p>
    <w:p>
      <w:pPr>
        <w:spacing w:before="156" w:beforeLines="50" w:after="156" w:afterLines="50" w:line="360" w:lineRule="auto"/>
        <w:ind w:firstLine="480" w:firstLineChars="200"/>
        <w:rPr>
          <w:lang w:eastAsia="zh-Hans"/>
        </w:rPr>
      </w:pPr>
      <w:r>
        <w:rPr>
          <w:rFonts w:hint="eastAsia" w:ascii="宋体" w:hAnsi="宋体" w:eastAsia="宋体" w:cs="Times New Roman (正文 CS 字体)"/>
          <w:sz w:val="24"/>
        </w:rPr>
        <w:t>支持维护系统中各个科室的相关信息。</w:t>
      </w:r>
    </w:p>
    <w:p>
      <w:pPr>
        <w:pStyle w:val="5"/>
        <w:numPr>
          <w:ilvl w:val="3"/>
          <w:numId w:val="2"/>
        </w:numPr>
        <w:tabs>
          <w:tab w:val="left" w:pos="1134"/>
        </w:tabs>
        <w:spacing w:before="120" w:after="120" w:line="360" w:lineRule="auto"/>
        <w:rPr>
          <w:rFonts w:ascii="宋体" w:hAnsi="宋体" w:eastAsia="宋体" w:cs="Times New Roman (正文 CS 字体)"/>
          <w:sz w:val="24"/>
          <w:szCs w:val="24"/>
          <w:lang w:eastAsia="zh-Hans"/>
        </w:rPr>
      </w:pPr>
      <w:r>
        <w:rPr>
          <w:rFonts w:hint="eastAsia" w:ascii="宋体" w:hAnsi="宋体" w:eastAsia="宋体" w:cs="Times New Roman (正文 CS 字体)"/>
          <w:sz w:val="24"/>
          <w:szCs w:val="24"/>
        </w:rPr>
        <w:t>系统参数管理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支持维护系统业务中菜单、字典内容，实现业务参数的动态调整。</w:t>
      </w:r>
    </w:p>
    <w:p>
      <w:pPr>
        <w:pStyle w:val="5"/>
        <w:numPr>
          <w:ilvl w:val="3"/>
          <w:numId w:val="2"/>
        </w:numPr>
        <w:tabs>
          <w:tab w:val="left" w:pos="1134"/>
        </w:tabs>
        <w:spacing w:before="120" w:after="120" w:line="360" w:lineRule="auto"/>
        <w:rPr>
          <w:rFonts w:ascii="宋体" w:hAnsi="宋体" w:eastAsia="宋体" w:cs="Times New Roman (正文 CS 字体)"/>
          <w:sz w:val="24"/>
          <w:szCs w:val="24"/>
        </w:rPr>
      </w:pPr>
      <w:r>
        <w:rPr>
          <w:rFonts w:hint="eastAsia" w:ascii="宋体" w:hAnsi="宋体" w:eastAsia="宋体" w:cs="Times New Roman (正文 CS 字体)"/>
          <w:sz w:val="24"/>
          <w:szCs w:val="24"/>
        </w:rPr>
        <w:t>系统日志管理</w:t>
      </w:r>
    </w:p>
    <w:p>
      <w:pPr>
        <w:spacing w:before="156" w:beforeLines="50" w:after="156" w:afterLines="50"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支持记录系统中的关键操作，能够通过系统日志查看操作内容，包括操作人、操作时间以及操作内容。</w:t>
      </w:r>
    </w:p>
    <w:p>
      <w:pPr>
        <w:pStyle w:val="4"/>
        <w:numPr>
          <w:ilvl w:val="2"/>
          <w:numId w:val="2"/>
        </w:numPr>
        <w:spacing w:before="156" w:beforeLines="50" w:after="156" w:afterLines="50"/>
        <w:ind w:left="0"/>
        <w:rPr>
          <w:rFonts w:ascii="宋体" w:hAnsi="宋体" w:eastAsia="宋体" w:cs="Times New Roman (正文 CS 字体)"/>
          <w:sz w:val="24"/>
          <w:szCs w:val="24"/>
        </w:rPr>
      </w:pPr>
      <w:r>
        <w:rPr>
          <w:rFonts w:hint="eastAsia" w:ascii="宋体" w:hAnsi="宋体" w:eastAsia="宋体" w:cs="Times New Roman (正文 CS 字体)"/>
          <w:sz w:val="24"/>
          <w:szCs w:val="24"/>
        </w:rPr>
        <w:t>移动端管理</w:t>
      </w:r>
    </w:p>
    <w:p>
      <w:pPr>
        <w:adjustRightInd w:val="0"/>
        <w:snapToGrid w:val="0"/>
        <w:spacing w:line="360" w:lineRule="auto"/>
        <w:ind w:firstLine="420"/>
        <w:rPr>
          <w:rFonts w:ascii="宋体" w:hAnsi="宋体" w:cs="宋体"/>
          <w:color w:val="000000"/>
          <w:kern w:val="24"/>
          <w:sz w:val="24"/>
          <w:lang w:bidi="ar"/>
        </w:rPr>
      </w:pPr>
      <w:r>
        <w:rPr>
          <w:rFonts w:hint="eastAsia" w:ascii="宋体" w:hAnsi="宋体" w:cs="宋体"/>
          <w:color w:val="000000"/>
          <w:kern w:val="24"/>
          <w:sz w:val="24"/>
          <w:lang w:bidi="ar"/>
        </w:rPr>
        <w:t>以微信公众号的形式呈现移动端的相关数据，移动端支持同步科研政策信息，科研公示信息、科研提醒信息、查看个人科研相关信息。</w:t>
      </w:r>
    </w:p>
    <w:p>
      <w:pPr>
        <w:numPr>
          <w:ilvl w:val="2"/>
          <w:numId w:val="2"/>
        </w:numPr>
        <w:adjustRightInd w:val="0"/>
        <w:snapToGrid w:val="0"/>
        <w:spacing w:line="360" w:lineRule="auto"/>
        <w:ind w:left="0"/>
        <w:rPr>
          <w:rFonts w:ascii="宋体" w:hAnsi="宋体" w:cs="宋体"/>
          <w:b/>
          <w:bCs/>
          <w:color w:val="000000"/>
          <w:kern w:val="24"/>
          <w:sz w:val="24"/>
          <w:lang w:bidi="ar"/>
        </w:rPr>
      </w:pPr>
      <w:r>
        <w:rPr>
          <w:rFonts w:hint="eastAsia" w:ascii="宋体" w:hAnsi="宋体" w:cs="宋体"/>
          <w:b/>
          <w:bCs/>
          <w:color w:val="000000"/>
          <w:kern w:val="24"/>
          <w:sz w:val="24"/>
          <w:lang w:bidi="ar"/>
        </w:rPr>
        <w:t>数据互联互通</w:t>
      </w:r>
    </w:p>
    <w:p>
      <w:pPr>
        <w:numPr>
          <w:ilvl w:val="255"/>
          <w:numId w:val="0"/>
        </w:numPr>
        <w:adjustRightInd w:val="0"/>
        <w:snapToGrid w:val="0"/>
        <w:spacing w:line="360" w:lineRule="auto"/>
        <w:ind w:firstLine="480" w:firstLineChars="200"/>
        <w:rPr>
          <w:rFonts w:ascii="宋体" w:hAnsi="宋体" w:cs="宋体"/>
          <w:color w:val="000000"/>
          <w:kern w:val="24"/>
          <w:sz w:val="24"/>
          <w:lang w:bidi="ar"/>
        </w:rPr>
      </w:pPr>
      <w:r>
        <w:rPr>
          <w:rFonts w:hint="eastAsia" w:ascii="宋体" w:hAnsi="宋体" w:cs="宋体"/>
          <w:color w:val="000000"/>
          <w:kern w:val="24"/>
          <w:sz w:val="24"/>
          <w:lang w:bidi="ar"/>
        </w:rPr>
        <w:t>对接医院的其它业务系统，做到数据的互联互通，如对接医院OA系统、人事系统、财务系统、科研物资的采购平台，能够直接实现把采购的经费数据传输到科研管理系统中以达到采购经费的规范化要求符合后期结题审计要求。</w:t>
      </w:r>
    </w:p>
    <w:p>
      <w:pPr>
        <w:pStyle w:val="3"/>
        <w:numPr>
          <w:ilvl w:val="1"/>
          <w:numId w:val="2"/>
        </w:numPr>
        <w:spacing w:before="156" w:beforeLines="50" w:after="156" w:afterLines="50"/>
        <w:rPr>
          <w:rFonts w:ascii="宋体" w:hAnsi="宋体" w:eastAsia="宋体"/>
          <w:sz w:val="28"/>
          <w:szCs w:val="28"/>
        </w:rPr>
      </w:pPr>
      <w:r>
        <w:rPr>
          <w:rFonts w:hint="eastAsia" w:ascii="宋体" w:hAnsi="宋体" w:eastAsia="宋体"/>
          <w:sz w:val="28"/>
          <w:szCs w:val="28"/>
        </w:rPr>
        <w:t>服务及其他要求</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项目实施</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本项目工期90个日历天</w:t>
      </w:r>
      <w:r>
        <w:rPr>
          <w:rFonts w:ascii="宋体" w:hAnsi="宋体" w:eastAsia="宋体"/>
          <w:sz w:val="24"/>
        </w:rPr>
        <w:t>。投标人应切实做好项目进度管理规划，在确保项目质量和安全的原则下，控制项目进度，确保项目建设按期完成并投入正常运行。</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项目实施期间，投标人应根据项目建设内容和进度需要，派驻具有一定资质能力水平的成员组成项目团队对医院信息系统进行实施及服务。项目团队应配置合理且具有较为合理明确的分工，应至少包含项目负责人、技术负责人、系统需求分析人员、系统架构设计人员、软件设计开发人员、数据库管理应用人员、系统集成应用人员、网络应用人员、软件测试人员等。</w:t>
      </w:r>
    </w:p>
    <w:p>
      <w:pPr>
        <w:spacing w:before="156" w:beforeLines="50" w:after="156" w:afterLines="50" w:line="360" w:lineRule="auto"/>
        <w:ind w:firstLine="566" w:firstLineChars="236"/>
        <w:rPr>
          <w:sz w:val="24"/>
        </w:rPr>
      </w:pPr>
      <w:r>
        <w:rPr>
          <w:rFonts w:hint="eastAsia" w:ascii="宋体" w:hAnsi="宋体" w:eastAsia="宋体"/>
          <w:sz w:val="24"/>
        </w:rPr>
        <w:t>考虑到医院环境的特殊性，驻场开发期间，投标人应严格遵循职业健康安全管理体系和环境管理体系要求，要求项目团队人员遵守医院的管理制度，注意健康安全管理和环境管理。</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项目培训</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项目实施期间，投标人应提供与本次项目相关的培训课程，面向各级领导、系统管理员、系统操作人员等不同群体提供系统化、定制化和有针对性的培训。</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针对各级领导、系统管理员、系统操作人员，投标人应能分别提供一对一培训、小班培训和集中培训等不同培训方式，并实现相应的培训目的。同时考虑到疫情防控等特殊原因需要，必要时还应提供网络培训。</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投标人应在投标文件中提出清晰的培训计划，包括但不限于培训课程、课程时长、培训地点和人数等，并做好培训效果评估。</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培训费用应已经包含在投标报价中，采购人不再另行付费。</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验收及知识产权</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本项目采用项目整体验收的方式。</w:t>
      </w:r>
    </w:p>
    <w:p>
      <w:pPr>
        <w:spacing w:line="360" w:lineRule="auto"/>
        <w:ind w:firstLine="420"/>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验收按国家，行业有关的规定，规范进行；</w:t>
      </w:r>
    </w:p>
    <w:p>
      <w:pPr>
        <w:spacing w:line="360" w:lineRule="auto"/>
        <w:ind w:firstLine="420"/>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系统测试要求：中标人要对系统实际运行情况进行测试；</w:t>
      </w:r>
    </w:p>
    <w:p>
      <w:pPr>
        <w:spacing w:line="360" w:lineRule="auto"/>
        <w:ind w:firstLine="420"/>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软件系统的验收属于项目的合同验收，需符合海南省信息化项目相关验收管理办法的要求，同时需符合下列要求：</w:t>
      </w:r>
    </w:p>
    <w:p>
      <w:pPr>
        <w:spacing w:line="360" w:lineRule="auto"/>
        <w:ind w:firstLine="420"/>
        <w:rPr>
          <w:rFonts w:ascii="宋体" w:hAnsi="宋体"/>
          <w:color w:val="000000"/>
          <w:sz w:val="24"/>
        </w:rPr>
      </w:pPr>
      <w:r>
        <w:rPr>
          <w:rFonts w:hint="eastAsia" w:ascii="宋体" w:hAnsi="宋体"/>
          <w:color w:val="000000"/>
          <w:sz w:val="24"/>
        </w:rPr>
        <w:t>a.</w:t>
      </w:r>
      <w:r>
        <w:rPr>
          <w:rFonts w:hint="eastAsia" w:ascii="宋体" w:hAnsi="宋体"/>
          <w:color w:val="000000"/>
          <w:sz w:val="24"/>
        </w:rPr>
        <w:tab/>
      </w:r>
      <w:r>
        <w:rPr>
          <w:rFonts w:hint="eastAsia" w:ascii="宋体" w:hAnsi="宋体"/>
          <w:color w:val="000000"/>
          <w:sz w:val="24"/>
        </w:rPr>
        <w:t>满足合同和招标文件中列举的全部要求；</w:t>
      </w:r>
    </w:p>
    <w:p>
      <w:pPr>
        <w:spacing w:line="360" w:lineRule="auto"/>
        <w:ind w:firstLine="420"/>
        <w:rPr>
          <w:rFonts w:ascii="宋体" w:hAnsi="宋体"/>
          <w:color w:val="000000"/>
          <w:sz w:val="24"/>
        </w:rPr>
      </w:pPr>
      <w:r>
        <w:rPr>
          <w:rFonts w:hint="eastAsia" w:ascii="宋体" w:hAnsi="宋体"/>
          <w:color w:val="000000"/>
          <w:sz w:val="24"/>
        </w:rPr>
        <w:t>b.</w:t>
      </w:r>
      <w:r>
        <w:rPr>
          <w:rFonts w:hint="eastAsia" w:ascii="宋体" w:hAnsi="宋体"/>
          <w:color w:val="000000"/>
          <w:sz w:val="24"/>
        </w:rPr>
        <w:tab/>
      </w:r>
      <w:r>
        <w:rPr>
          <w:rFonts w:hint="eastAsia" w:ascii="宋体" w:hAnsi="宋体"/>
          <w:color w:val="000000"/>
          <w:sz w:val="24"/>
        </w:rPr>
        <w:t>实现合同和招标文件中列举的全部功能要求；</w:t>
      </w:r>
    </w:p>
    <w:p>
      <w:pPr>
        <w:spacing w:line="360" w:lineRule="auto"/>
        <w:ind w:firstLine="420"/>
        <w:rPr>
          <w:rFonts w:ascii="宋体" w:hAnsi="宋体"/>
          <w:color w:val="000000"/>
          <w:sz w:val="24"/>
        </w:rPr>
      </w:pPr>
      <w:r>
        <w:rPr>
          <w:rFonts w:hint="eastAsia" w:ascii="宋体" w:hAnsi="宋体"/>
          <w:color w:val="000000"/>
          <w:sz w:val="24"/>
        </w:rPr>
        <w:t>c.</w:t>
      </w:r>
      <w:r>
        <w:rPr>
          <w:rFonts w:hint="eastAsia" w:ascii="宋体" w:hAnsi="宋体"/>
          <w:color w:val="000000"/>
          <w:sz w:val="24"/>
        </w:rPr>
        <w:tab/>
      </w:r>
      <w:r>
        <w:rPr>
          <w:rFonts w:hint="eastAsia" w:ascii="宋体" w:hAnsi="宋体"/>
          <w:color w:val="000000"/>
          <w:sz w:val="24"/>
        </w:rPr>
        <w:t>达到合同和招标文件中列举的全部指标；</w:t>
      </w:r>
    </w:p>
    <w:p>
      <w:pPr>
        <w:spacing w:line="360" w:lineRule="auto"/>
        <w:ind w:firstLine="420"/>
        <w:rPr>
          <w:rFonts w:ascii="宋体" w:hAnsi="宋体"/>
          <w:color w:val="000000"/>
          <w:sz w:val="24"/>
        </w:rPr>
      </w:pPr>
      <w:r>
        <w:rPr>
          <w:rFonts w:hint="eastAsia" w:ascii="宋体" w:hAnsi="宋体"/>
          <w:color w:val="000000"/>
          <w:sz w:val="24"/>
        </w:rPr>
        <w:t>d.</w:t>
      </w:r>
      <w:r>
        <w:rPr>
          <w:rFonts w:hint="eastAsia" w:ascii="宋体" w:hAnsi="宋体"/>
          <w:color w:val="000000"/>
          <w:sz w:val="24"/>
        </w:rPr>
        <w:tab/>
      </w:r>
      <w:r>
        <w:rPr>
          <w:rFonts w:hint="eastAsia" w:ascii="宋体" w:hAnsi="宋体"/>
          <w:color w:val="000000"/>
          <w:sz w:val="24"/>
        </w:rPr>
        <w:t>文档齐全，符合合同和招标文件及相关标准要求，包括但不限于下列文档：需求说明书，概要设计说明书，详细设计说明书，数据库设计说明书，测试计划，测试报告，用户手册，项目计划书，用户培训计划，会议记录等。</w:t>
      </w:r>
    </w:p>
    <w:p>
      <w:pPr>
        <w:spacing w:line="360" w:lineRule="auto"/>
        <w:ind w:firstLine="420"/>
        <w:rPr>
          <w:color w:val="000000"/>
          <w:lang w:eastAsia="zh-Hans"/>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验收项目包括按照合同和招标文件中所标明的软件系统，及相关的技术维护文档，培训教材，使用说明书等。</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系统整体功能交付达到了全部要求，系统上线并稳定运行，通过采购人认可，且在提交全部相关文档、报告等交付物的前提下，由中标人向采购人提出项目竣工验收申请，由采购人组织领域专家进行验收评审，验收合格后15个工作日内出具项目整体验收报告。</w:t>
      </w:r>
    </w:p>
    <w:p>
      <w:pPr>
        <w:spacing w:before="156" w:beforeLines="50" w:after="156" w:afterLines="50" w:line="360" w:lineRule="auto"/>
        <w:ind w:firstLine="566" w:firstLineChars="236"/>
        <w:rPr>
          <w:rFonts w:ascii="宋体" w:hAnsi="宋体" w:eastAsia="宋体"/>
          <w:sz w:val="24"/>
        </w:rPr>
      </w:pPr>
      <w:r>
        <w:rPr>
          <w:rFonts w:hint="eastAsia" w:ascii="宋体" w:hAnsi="宋体" w:eastAsia="宋体"/>
          <w:sz w:val="24"/>
        </w:rPr>
        <w:t>中标人原有知识产权归中标人所有，在项目实施过程中因用户个性化需求开发部分（包括接口等）软件的版权（即著作权）归采购人（海南医学院第二附属医院）和中标人双方共有。中标人须保障采购人的使用权不受任何第三方影响,如有问题,由中标人承担后果。</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售后服务</w:t>
      </w:r>
    </w:p>
    <w:p>
      <w:pPr>
        <w:adjustRightInd w:val="0"/>
        <w:snapToGrid w:val="0"/>
        <w:spacing w:before="156" w:beforeLines="50" w:after="156" w:afterLines="50" w:line="360" w:lineRule="auto"/>
        <w:ind w:firstLine="480" w:firstLineChars="200"/>
        <w:rPr>
          <w:rFonts w:ascii="宋体" w:hAnsi="宋体" w:eastAsia="宋体"/>
          <w:sz w:val="24"/>
        </w:rPr>
      </w:pPr>
      <w:r>
        <w:rPr>
          <w:rFonts w:hint="eastAsia" w:ascii="宋体" w:hAnsi="宋体" w:eastAsia="宋体"/>
          <w:sz w:val="24"/>
        </w:rPr>
        <w:t>投标人应具备与本项目匹配的服务能力，并合理配备服务负责人和服务人员，以响应项目医院的技术服务要求。</w:t>
      </w:r>
    </w:p>
    <w:p>
      <w:pPr>
        <w:adjustRightInd w:val="0"/>
        <w:snapToGrid w:val="0"/>
        <w:spacing w:before="156" w:beforeLines="50" w:after="156" w:afterLines="50" w:line="360" w:lineRule="auto"/>
        <w:ind w:firstLine="480" w:firstLineChars="200"/>
        <w:rPr>
          <w:rFonts w:ascii="宋体" w:hAnsi="宋体" w:eastAsia="宋体"/>
          <w:sz w:val="24"/>
        </w:rPr>
      </w:pPr>
      <w:r>
        <w:rPr>
          <w:rFonts w:hint="eastAsia" w:ascii="宋体" w:hAnsi="宋体" w:eastAsia="宋体"/>
          <w:sz w:val="24"/>
        </w:rPr>
        <w:t>本项目质保期为签订项目验收合格书之日起三年，并提供：（1）免费升级服务。(2)至少提供75课时的医学科研相关培训课程。(3)至少10个自然基金课题申报书评审反馈服务。</w:t>
      </w:r>
    </w:p>
    <w:p>
      <w:pPr>
        <w:adjustRightInd w:val="0"/>
        <w:snapToGrid w:val="0"/>
        <w:spacing w:before="156" w:beforeLines="50" w:after="156" w:afterLines="50" w:line="360" w:lineRule="auto"/>
        <w:ind w:firstLine="480" w:firstLineChars="200"/>
        <w:rPr>
          <w:rFonts w:ascii="宋体" w:hAnsi="宋体"/>
          <w:color w:val="000000"/>
          <w:sz w:val="24"/>
        </w:rPr>
      </w:pPr>
      <w:r>
        <w:rPr>
          <w:rFonts w:hint="eastAsia" w:ascii="宋体" w:hAnsi="宋体" w:eastAsia="宋体"/>
          <w:sz w:val="24"/>
        </w:rPr>
        <w:t>工程建设期间及质保期均属于免费服务期，</w:t>
      </w:r>
      <w:r>
        <w:rPr>
          <w:rFonts w:hint="eastAsia" w:ascii="宋体" w:hAnsi="宋体" w:eastAsia="宋体"/>
          <w:color w:val="000000"/>
          <w:sz w:val="24"/>
        </w:rPr>
        <w:t>免费服务</w:t>
      </w:r>
      <w:r>
        <w:rPr>
          <w:rFonts w:ascii="宋体" w:hAnsi="宋体"/>
          <w:color w:val="000000"/>
          <w:sz w:val="24"/>
        </w:rPr>
        <w:t>期内</w:t>
      </w:r>
      <w:r>
        <w:rPr>
          <w:rFonts w:hint="eastAsia" w:ascii="宋体" w:hAnsi="宋体"/>
          <w:color w:val="000000"/>
          <w:sz w:val="24"/>
        </w:rPr>
        <w:t>所发生的一切费用包括系统技术支持，系统维护或升级，接口对接，人员交通，差旅服务等费用全部包含在中标价内。</w:t>
      </w:r>
      <w:r>
        <w:rPr>
          <w:rFonts w:hint="eastAsia" w:ascii="宋体" w:hAnsi="宋体"/>
          <w:sz w:val="24"/>
        </w:rPr>
        <w:t>免费服务期满后，每年的维护费为中标费用（软件部分）的10%</w:t>
      </w:r>
      <w:r>
        <w:rPr>
          <w:rFonts w:hint="eastAsia" w:ascii="宋体" w:hAnsi="宋体"/>
          <w:color w:val="000000"/>
          <w:sz w:val="24"/>
        </w:rPr>
        <w:t>。</w:t>
      </w:r>
      <w:r>
        <w:rPr>
          <w:rFonts w:hint="eastAsia" w:ascii="宋体" w:hAnsi="宋体" w:eastAsia="宋体"/>
          <w:sz w:val="24"/>
        </w:rPr>
        <w:t>投标人在质保期满后向业主提供如质保期内的售后服务，并经双方协商后收取相应费用。</w:t>
      </w:r>
    </w:p>
    <w:p>
      <w:pPr>
        <w:adjustRightInd w:val="0"/>
        <w:snapToGrid w:val="0"/>
        <w:spacing w:before="156" w:beforeLines="50" w:after="156" w:afterLines="50" w:line="360" w:lineRule="auto"/>
        <w:ind w:firstLine="480" w:firstLineChars="200"/>
        <w:rPr>
          <w:rFonts w:ascii="宋体" w:hAnsi="宋体" w:eastAsia="宋体"/>
          <w:sz w:val="24"/>
        </w:rPr>
      </w:pPr>
      <w:r>
        <w:rPr>
          <w:rFonts w:hint="eastAsia" w:ascii="宋体" w:hAnsi="宋体" w:eastAsia="宋体"/>
          <w:sz w:val="24"/>
        </w:rPr>
        <w:t>投标人必须提供7*24小时技术支持热线电话（固话，手机）。当发生故障时，自报障时起算，1小时内响应，4小时内解决，若远程维护无法解决，投标人应安排人员在48小时内到达现场处理故障；维保期内，投标人向采购人提供免费软件升级和维护服务；维保期内，若因为政策变动而导致系统功能需要重建，则双方共同协商制订费用收取标准；若因为政策变动而导致系统功能需要增加或者修改，则包含在保修业务范围内。</w:t>
      </w:r>
    </w:p>
    <w:p>
      <w:pPr>
        <w:pStyle w:val="4"/>
        <w:numPr>
          <w:ilvl w:val="2"/>
          <w:numId w:val="2"/>
        </w:numPr>
        <w:spacing w:before="156" w:beforeLines="50" w:after="156" w:afterLines="50"/>
        <w:ind w:left="0"/>
        <w:rPr>
          <w:rFonts w:ascii="宋体" w:hAnsi="宋体" w:eastAsia="宋体"/>
          <w:sz w:val="28"/>
          <w:szCs w:val="28"/>
        </w:rPr>
      </w:pPr>
      <w:r>
        <w:rPr>
          <w:rFonts w:hint="eastAsia" w:ascii="宋体" w:hAnsi="宋体" w:eastAsia="宋体"/>
          <w:sz w:val="28"/>
          <w:szCs w:val="28"/>
        </w:rPr>
        <w:t>付款方式</w:t>
      </w:r>
    </w:p>
    <w:p>
      <w:pPr>
        <w:adjustRightInd w:val="0"/>
        <w:snapToGrid w:val="0"/>
        <w:spacing w:before="156" w:beforeLines="50" w:after="156" w:afterLines="50" w:line="360" w:lineRule="auto"/>
        <w:ind w:firstLine="480" w:firstLineChars="200"/>
        <w:rPr>
          <w:rFonts w:ascii="宋体" w:hAnsi="宋体" w:eastAsia="宋体"/>
          <w:sz w:val="24"/>
        </w:rPr>
      </w:pPr>
      <w:r>
        <w:rPr>
          <w:rFonts w:hint="eastAsia" w:ascii="宋体" w:hAnsi="宋体" w:eastAsia="宋体"/>
          <w:sz w:val="24"/>
        </w:rPr>
        <w:t>本项目所有款项均以人民币支付，项目合同总价以中标价为准。付款方式如下：</w:t>
      </w:r>
    </w:p>
    <w:p>
      <w:pPr>
        <w:numPr>
          <w:ilvl w:val="0"/>
          <w:numId w:val="4"/>
        </w:numPr>
        <w:adjustRightInd w:val="0"/>
        <w:snapToGrid w:val="0"/>
        <w:spacing w:before="156" w:beforeLines="50" w:after="156" w:afterLines="50" w:line="360" w:lineRule="auto"/>
        <w:ind w:firstLine="480"/>
        <w:rPr>
          <w:rFonts w:ascii="宋体" w:hAnsi="宋体" w:eastAsia="宋体"/>
          <w:sz w:val="24"/>
        </w:rPr>
      </w:pPr>
      <w:r>
        <w:rPr>
          <w:rFonts w:hint="eastAsia" w:ascii="宋体" w:hAnsi="宋体" w:eastAsia="宋体"/>
          <w:sz w:val="24"/>
        </w:rPr>
        <w:t>合同签订生效1</w:t>
      </w:r>
      <w:r>
        <w:rPr>
          <w:rFonts w:ascii="宋体" w:hAnsi="宋体" w:eastAsia="宋体"/>
          <w:sz w:val="24"/>
        </w:rPr>
        <w:t>5</w:t>
      </w:r>
      <w:r>
        <w:rPr>
          <w:rFonts w:hint="eastAsia" w:ascii="宋体" w:hAnsi="宋体" w:eastAsia="宋体"/>
          <w:sz w:val="24"/>
        </w:rPr>
        <w:t>天内，凭中标人提供正式有效的含税发票，采购人办理相关手续后，支付合同总额的</w:t>
      </w:r>
      <w:r>
        <w:rPr>
          <w:rFonts w:ascii="宋体" w:hAnsi="宋体" w:eastAsia="宋体"/>
          <w:sz w:val="24"/>
        </w:rPr>
        <w:t>3</w:t>
      </w:r>
      <w:r>
        <w:rPr>
          <w:rFonts w:hint="eastAsia" w:ascii="宋体" w:hAnsi="宋体" w:eastAsia="宋体"/>
          <w:sz w:val="24"/>
        </w:rPr>
        <w:t>0%；</w:t>
      </w:r>
    </w:p>
    <w:p>
      <w:pPr>
        <w:numPr>
          <w:ilvl w:val="0"/>
          <w:numId w:val="4"/>
        </w:numPr>
        <w:adjustRightInd w:val="0"/>
        <w:snapToGrid w:val="0"/>
        <w:spacing w:before="156" w:beforeLines="50" w:after="156" w:afterLines="50" w:line="360" w:lineRule="auto"/>
        <w:ind w:firstLine="480"/>
        <w:rPr>
          <w:rFonts w:ascii="宋体" w:hAnsi="宋体" w:eastAsia="宋体"/>
          <w:sz w:val="24"/>
        </w:rPr>
      </w:pPr>
      <w:r>
        <w:rPr>
          <w:rFonts w:hint="eastAsia" w:ascii="宋体" w:hAnsi="宋体" w:eastAsia="宋体"/>
          <w:sz w:val="24"/>
        </w:rPr>
        <w:t>项目整体完成，系统上线且稳定运行三个月后，且符合合同要求，中标人向采购人书面提出验收申请，经采购人验收合格后，凭中标人提供的正式有效的含税发票，采购人办理相关手续后，支付合同总额的</w:t>
      </w:r>
      <w:r>
        <w:rPr>
          <w:rFonts w:ascii="宋体" w:hAnsi="宋体" w:eastAsia="宋体"/>
          <w:sz w:val="24"/>
        </w:rPr>
        <w:t>6</w:t>
      </w:r>
      <w:r>
        <w:rPr>
          <w:rFonts w:hint="eastAsia" w:ascii="宋体" w:hAnsi="宋体" w:eastAsia="宋体"/>
          <w:sz w:val="24"/>
        </w:rPr>
        <w:t>5%；</w:t>
      </w:r>
    </w:p>
    <w:p>
      <w:pPr>
        <w:numPr>
          <w:ilvl w:val="0"/>
          <w:numId w:val="4"/>
        </w:numPr>
        <w:adjustRightInd w:val="0"/>
        <w:snapToGrid w:val="0"/>
        <w:spacing w:before="156" w:beforeLines="50" w:after="156" w:afterLines="50" w:line="360" w:lineRule="auto"/>
        <w:ind w:firstLine="480"/>
      </w:pPr>
      <w:r>
        <w:rPr>
          <w:rFonts w:hint="eastAsia" w:ascii="宋体" w:hAnsi="宋体" w:eastAsia="宋体"/>
          <w:sz w:val="24"/>
        </w:rPr>
        <w:t>剩余合同总金额的</w:t>
      </w:r>
      <w:r>
        <w:rPr>
          <w:rFonts w:ascii="宋体" w:hAnsi="宋体" w:eastAsia="宋体"/>
          <w:sz w:val="24"/>
        </w:rPr>
        <w:t>5</w:t>
      </w:r>
      <w:r>
        <w:rPr>
          <w:rFonts w:hint="eastAsia" w:ascii="宋体" w:hAnsi="宋体" w:eastAsia="宋体"/>
          <w:sz w:val="24"/>
        </w:rPr>
        <w:t>%合同款转为质保金，质保期结束后，经采购人相关部门对中标人质保服务进行评价，评价为合格后</w:t>
      </w:r>
      <w:r>
        <w:rPr>
          <w:rFonts w:hint="eastAsia" w:ascii="宋体" w:hAnsi="宋体"/>
          <w:color w:val="000000"/>
          <w:sz w:val="24"/>
        </w:rPr>
        <w:t>凭中标人提供的正式含税发票，采购人办理相关手续后，支付合同总额的</w:t>
      </w:r>
      <w:r>
        <w:rPr>
          <w:rFonts w:ascii="宋体" w:hAnsi="宋体"/>
          <w:color w:val="000000"/>
          <w:sz w:val="24"/>
        </w:rPr>
        <w:t>5</w:t>
      </w:r>
      <w:r>
        <w:rPr>
          <w:rFonts w:hint="eastAsia" w:ascii="宋体" w:hAnsi="宋体"/>
          <w:color w:val="000000"/>
          <w:sz w:val="24"/>
        </w:rPr>
        <w:t>%</w:t>
      </w:r>
      <w:r>
        <w:rPr>
          <w:rFonts w:hint="eastAsia" w:ascii="宋体" w:hAnsi="宋体" w:eastAsia="宋体"/>
          <w:sz w:val="24"/>
        </w:rPr>
        <w:t>；</w:t>
      </w:r>
      <w:r>
        <w:rPr>
          <w:rFonts w:hint="eastAsia" w:ascii="宋体" w:hAnsi="宋体"/>
          <w:color w:val="000000"/>
          <w:sz w:val="24"/>
        </w:rPr>
        <w:t>中标人</w:t>
      </w:r>
      <w:r>
        <w:rPr>
          <w:rFonts w:hint="eastAsia" w:ascii="宋体" w:hAnsi="宋体" w:eastAsia="宋体"/>
          <w:sz w:val="24"/>
        </w:rPr>
        <w:t>在质保服务期内，系统或服务成果出现问题应配合采购人积极整改，否则甲方有权拒付或扣除部分质保金。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9B6C6"/>
    <w:multiLevelType w:val="singleLevel"/>
    <w:tmpl w:val="F709B6C6"/>
    <w:lvl w:ilvl="0" w:tentative="0">
      <w:start w:val="1"/>
      <w:numFmt w:val="decimal"/>
      <w:suff w:val="nothing"/>
      <w:lvlText w:val="%1、"/>
      <w:lvlJc w:val="left"/>
    </w:lvl>
  </w:abstractNum>
  <w:abstractNum w:abstractNumId="1">
    <w:nsid w:val="11760DB1"/>
    <w:multiLevelType w:val="multilevel"/>
    <w:tmpl w:val="11760DB1"/>
    <w:lvl w:ilvl="0" w:tentative="0">
      <w:start w:val="1"/>
      <w:numFmt w:val="decimal"/>
      <w:lvlText w:val="%1"/>
      <w:lvlJc w:val="left"/>
      <w:pPr>
        <w:ind w:left="0" w:firstLine="0"/>
      </w:pPr>
      <w:rPr>
        <w:rFonts w:hint="eastAsia"/>
        <w:b/>
        <w:bCs w:val="0"/>
      </w:rPr>
    </w:lvl>
    <w:lvl w:ilvl="1" w:tentative="0">
      <w:start w:val="1"/>
      <w:numFmt w:val="decimal"/>
      <w:lvlText w:val="%1.%2"/>
      <w:lvlJc w:val="left"/>
      <w:pPr>
        <w:ind w:left="0" w:firstLine="0"/>
      </w:pPr>
      <w:rPr>
        <w:b/>
        <w:bCs/>
        <w:sz w:val="24"/>
        <w:szCs w:val="28"/>
      </w:rPr>
    </w:lvl>
    <w:lvl w:ilvl="2" w:tentative="0">
      <w:start w:val="1"/>
      <w:numFmt w:val="decimal"/>
      <w:lvlText w:val="%1.%2.%3"/>
      <w:lvlJc w:val="left"/>
      <w:pPr>
        <w:ind w:left="993" w:firstLine="0"/>
      </w:pPr>
      <w:rPr>
        <w:sz w:val="24"/>
        <w:szCs w:val="24"/>
      </w:rPr>
    </w:lvl>
    <w:lvl w:ilvl="3" w:tentative="0">
      <w:start w:val="1"/>
      <w:numFmt w:val="decimal"/>
      <w:lvlText w:val="%1.%2.%3.%4"/>
      <w:lvlJc w:val="left"/>
      <w:pPr>
        <w:ind w:left="0" w:firstLine="0"/>
      </w:pPr>
      <w:rPr>
        <w:b/>
        <w:bCs/>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674C203"/>
    <w:multiLevelType w:val="singleLevel"/>
    <w:tmpl w:val="1674C203"/>
    <w:lvl w:ilvl="0" w:tentative="0">
      <w:start w:val="1"/>
      <w:numFmt w:val="decimal"/>
      <w:suff w:val="nothing"/>
      <w:lvlText w:val="%1、"/>
      <w:lvlJc w:val="left"/>
      <w:pPr>
        <w:ind w:left="-60"/>
      </w:pPr>
    </w:lvl>
  </w:abstractNum>
  <w:abstractNum w:abstractNumId="3">
    <w:nsid w:val="197436D3"/>
    <w:multiLevelType w:val="multilevel"/>
    <w:tmpl w:val="197436D3"/>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4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next w:val="1"/>
    <w:qFormat/>
    <w:uiPriority w:val="99"/>
    <w:pPr>
      <w:spacing w:after="120"/>
    </w:pPr>
    <w:rPr>
      <w:rFonts w:ascii="Tahoma" w:hAnsi="Tahoma" w:eastAsia="等线" w:cs="Times New Roman"/>
    </w:rPr>
  </w:style>
  <w:style w:type="paragraph" w:styleId="7">
    <w:name w:val="toc 1"/>
    <w:basedOn w:val="1"/>
    <w:next w:val="1"/>
    <w:unhideWhenUsed/>
    <w:qFormat/>
    <w:uiPriority w:val="39"/>
    <w:pPr>
      <w:spacing w:before="120"/>
      <w:jc w:val="left"/>
    </w:pPr>
    <w:rPr>
      <w:rFonts w:eastAsiaTheme="minorHAnsi"/>
      <w:b/>
      <w:bCs/>
      <w:i/>
      <w:iCs/>
      <w:sz w:val="24"/>
      <w14:ligatures w14:val="standardContextual"/>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2023-12-04T01:18:14Z</dcterms:created>
  <dc:creator>Administrator</dc:creator>
  <cp:lastModifiedBy>Administrator</cp:lastModifiedBy>
  <dcterms:modified xsi:type="dcterms:W3CDTF">2023-12-04T01:19:32Z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