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djustRightInd w:val="0"/>
        <w:snapToGrid w:val="0"/>
        <w:spacing w:after="240" w:line="360" w:lineRule="auto"/>
        <w:jc w:val="center"/>
        <w:rPr>
          <w:rFonts w:hint="eastAsia" w:asciiTheme="majorHAnsi" w:hAnsiTheme="majorHAnsi" w:eastAsiaTheme="majorEastAsia" w:cstheme="majorBidi"/>
          <w:b/>
          <w:bCs/>
          <w:kern w:val="2"/>
          <w:sz w:val="28"/>
          <w:szCs w:val="28"/>
          <w:lang w:val="en-US" w:eastAsia="zh-CN" w:bidi="ar-SA"/>
        </w:rPr>
      </w:pPr>
      <w:bookmarkStart w:id="0" w:name="_GoBack"/>
      <w:bookmarkEnd w:id="0"/>
      <w:r>
        <w:rPr>
          <w:rFonts w:hint="eastAsia" w:asciiTheme="majorHAnsi" w:hAnsiTheme="majorHAnsi" w:eastAsiaTheme="majorEastAsia" w:cstheme="majorBidi"/>
          <w:b/>
          <w:bCs/>
          <w:kern w:val="2"/>
          <w:sz w:val="28"/>
          <w:szCs w:val="28"/>
          <w:lang w:val="en-US" w:eastAsia="zh-CN" w:bidi="ar-SA"/>
        </w:rPr>
        <w:t>十二导同步心电分析系统技术参数及配置</w:t>
      </w:r>
    </w:p>
    <w:tbl>
      <w:tblPr>
        <w:tblStyle w:val="4"/>
        <w:tblW w:w="0" w:type="auto"/>
        <w:tblInd w:w="135" w:type="dxa"/>
        <w:tblLayout w:type="fixed"/>
        <w:tblCellMar>
          <w:top w:w="0" w:type="dxa"/>
          <w:left w:w="108" w:type="dxa"/>
          <w:bottom w:w="0" w:type="dxa"/>
          <w:right w:w="108" w:type="dxa"/>
        </w:tblCellMar>
      </w:tblPr>
      <w:tblGrid>
        <w:gridCol w:w="3062"/>
        <w:gridCol w:w="4386"/>
        <w:gridCol w:w="861"/>
      </w:tblGrid>
      <w:tr>
        <w:tblPrEx>
          <w:tblCellMar>
            <w:top w:w="0" w:type="dxa"/>
            <w:left w:w="108" w:type="dxa"/>
            <w:bottom w:w="0" w:type="dxa"/>
            <w:right w:w="108" w:type="dxa"/>
          </w:tblCellMar>
        </w:tblPrEx>
        <w:trPr>
          <w:trHeight w:val="619" w:hRule="atLeast"/>
        </w:trPr>
        <w:tc>
          <w:tcPr>
            <w:tcW w:w="3062" w:type="dxa"/>
            <w:tcBorders>
              <w:top w:val="single" w:color="808080" w:sz="4" w:space="0"/>
              <w:left w:val="single" w:color="808080" w:sz="4" w:space="0"/>
              <w:bottom w:val="single" w:color="808080" w:sz="4" w:space="0"/>
              <w:right w:val="single" w:color="808080" w:sz="4" w:space="0"/>
            </w:tcBorders>
            <w:noWrap w:val="0"/>
            <w:vAlign w:val="center"/>
          </w:tcPr>
          <w:p>
            <w:pPr>
              <w:pStyle w:val="6"/>
              <w:widowControl/>
              <w:spacing w:line="360" w:lineRule="auto"/>
              <w:jc w:val="center"/>
              <w:rPr>
                <w:rFonts w:ascii="宋体" w:hAnsi="宋体" w:eastAsia="宋体" w:cs="宋体"/>
                <w:kern w:val="2"/>
                <w:sz w:val="24"/>
                <w:szCs w:val="24"/>
              </w:rPr>
            </w:pPr>
            <w:r>
              <w:rPr>
                <w:rFonts w:hint="eastAsia" w:ascii="宋体" w:hAnsi="宋体" w:eastAsia="宋体" w:cs="宋体"/>
                <w:kern w:val="2"/>
                <w:sz w:val="24"/>
                <w:szCs w:val="24"/>
              </w:rPr>
              <w:t>设备名称</w:t>
            </w:r>
          </w:p>
        </w:tc>
        <w:tc>
          <w:tcPr>
            <w:tcW w:w="4386" w:type="dxa"/>
            <w:tcBorders>
              <w:top w:val="single" w:color="808080" w:sz="4" w:space="0"/>
              <w:left w:val="single" w:color="808080" w:sz="4" w:space="0"/>
              <w:bottom w:val="single" w:color="808080" w:sz="4" w:space="0"/>
              <w:right w:val="single" w:color="808080" w:sz="4" w:space="0"/>
            </w:tcBorders>
            <w:noWrap w:val="0"/>
            <w:vAlign w:val="center"/>
          </w:tcPr>
          <w:p>
            <w:pPr>
              <w:pStyle w:val="6"/>
              <w:widowControl/>
              <w:spacing w:line="360" w:lineRule="auto"/>
              <w:jc w:val="center"/>
              <w:rPr>
                <w:rFonts w:ascii="宋体" w:hAnsi="宋体" w:eastAsia="宋体" w:cs="宋体"/>
                <w:kern w:val="2"/>
                <w:sz w:val="24"/>
                <w:szCs w:val="24"/>
              </w:rPr>
            </w:pPr>
            <w:r>
              <w:rPr>
                <w:rFonts w:hint="eastAsia" w:ascii="宋体" w:hAnsi="宋体" w:eastAsia="宋体" w:cs="宋体"/>
                <w:kern w:val="2"/>
                <w:sz w:val="24"/>
                <w:szCs w:val="24"/>
              </w:rPr>
              <w:t>技术规格</w:t>
            </w:r>
          </w:p>
        </w:tc>
        <w:tc>
          <w:tcPr>
            <w:tcW w:w="861" w:type="dxa"/>
            <w:tcBorders>
              <w:top w:val="single" w:color="808080" w:sz="4" w:space="0"/>
              <w:left w:val="single" w:color="808080" w:sz="4" w:space="0"/>
              <w:bottom w:val="single" w:color="808080" w:sz="4" w:space="0"/>
              <w:right w:val="single" w:color="808080" w:sz="4" w:space="0"/>
            </w:tcBorders>
            <w:noWrap w:val="0"/>
            <w:vAlign w:val="center"/>
          </w:tcPr>
          <w:p>
            <w:pPr>
              <w:pStyle w:val="6"/>
              <w:widowControl/>
              <w:spacing w:line="360" w:lineRule="auto"/>
              <w:jc w:val="center"/>
              <w:rPr>
                <w:rFonts w:ascii="宋体" w:hAnsi="宋体" w:eastAsia="宋体" w:cs="宋体"/>
                <w:kern w:val="2"/>
                <w:sz w:val="24"/>
                <w:szCs w:val="24"/>
              </w:rPr>
            </w:pPr>
            <w:r>
              <w:rPr>
                <w:rFonts w:hint="eastAsia" w:ascii="宋体" w:hAnsi="宋体" w:eastAsia="宋体" w:cs="宋体"/>
                <w:kern w:val="2"/>
                <w:sz w:val="24"/>
                <w:szCs w:val="24"/>
              </w:rPr>
              <w:t>数量</w:t>
            </w:r>
          </w:p>
        </w:tc>
      </w:tr>
      <w:tr>
        <w:tblPrEx>
          <w:tblCellMar>
            <w:top w:w="0" w:type="dxa"/>
            <w:left w:w="108" w:type="dxa"/>
            <w:bottom w:w="0" w:type="dxa"/>
            <w:right w:w="108" w:type="dxa"/>
          </w:tblCellMar>
        </w:tblPrEx>
        <w:trPr>
          <w:trHeight w:val="953" w:hRule="atLeast"/>
        </w:trPr>
        <w:tc>
          <w:tcPr>
            <w:tcW w:w="3062" w:type="dxa"/>
            <w:tcBorders>
              <w:top w:val="single" w:color="808080" w:sz="4" w:space="0"/>
              <w:left w:val="single" w:color="808080" w:sz="4" w:space="0"/>
              <w:bottom w:val="single" w:color="808080" w:sz="4" w:space="0"/>
              <w:right w:val="single" w:color="808080" w:sz="4" w:space="0"/>
            </w:tcBorders>
            <w:noWrap w:val="0"/>
            <w:vAlign w:val="center"/>
          </w:tcPr>
          <w:p>
            <w:pPr>
              <w:pStyle w:val="6"/>
              <w:widowControl/>
              <w:spacing w:line="360" w:lineRule="auto"/>
              <w:ind w:right="-140"/>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十二导同步心电分析系统</w:t>
            </w:r>
          </w:p>
        </w:tc>
        <w:tc>
          <w:tcPr>
            <w:tcW w:w="4386" w:type="dxa"/>
            <w:tcBorders>
              <w:top w:val="single" w:color="808080" w:sz="4" w:space="0"/>
              <w:left w:val="single" w:color="808080" w:sz="4" w:space="0"/>
              <w:bottom w:val="single" w:color="808080" w:sz="4" w:space="0"/>
              <w:right w:val="single" w:color="808080" w:sz="4" w:space="0"/>
            </w:tcBorders>
            <w:noWrap w:val="0"/>
            <w:vAlign w:val="top"/>
          </w:tcPr>
          <w:p>
            <w:pPr>
              <w:pStyle w:val="6"/>
              <w:widowControl/>
              <w:numPr>
                <w:ilvl w:val="0"/>
                <w:numId w:val="2"/>
              </w:numPr>
              <w:spacing w:line="360" w:lineRule="auto"/>
              <w:ind w:right="-108"/>
              <w:rPr>
                <w:rFonts w:ascii="宋体" w:hAnsi="宋体" w:eastAsia="宋体" w:cs="宋体"/>
                <w:kern w:val="2"/>
                <w:sz w:val="24"/>
                <w:szCs w:val="24"/>
              </w:rPr>
            </w:pPr>
            <w:r>
              <w:rPr>
                <w:rFonts w:hint="eastAsia" w:ascii="宋体" w:hAnsi="宋体" w:eastAsia="宋体" w:cs="宋体"/>
                <w:kern w:val="2"/>
                <w:sz w:val="24"/>
                <w:szCs w:val="24"/>
              </w:rPr>
              <w:t>12导同步数字心电采集器</w:t>
            </w:r>
            <w:r>
              <w:rPr>
                <w:rFonts w:hint="eastAsia" w:ascii="宋体" w:hAnsi="宋体" w:cs="宋体"/>
                <w:kern w:val="2"/>
                <w:sz w:val="24"/>
                <w:szCs w:val="24"/>
                <w:lang w:val="en-US" w:eastAsia="zh-CN"/>
              </w:rPr>
              <w:t xml:space="preserve"> </w:t>
            </w:r>
          </w:p>
          <w:p>
            <w:pPr>
              <w:pStyle w:val="6"/>
              <w:widowControl/>
              <w:numPr>
                <w:ilvl w:val="0"/>
                <w:numId w:val="3"/>
              </w:numPr>
              <w:spacing w:line="360" w:lineRule="auto"/>
              <w:ind w:right="420"/>
              <w:rPr>
                <w:rFonts w:ascii="宋体" w:hAnsi="宋体" w:eastAsia="宋体" w:cs="宋体"/>
                <w:kern w:val="2"/>
                <w:sz w:val="24"/>
                <w:szCs w:val="24"/>
              </w:rPr>
            </w:pPr>
            <w:r>
              <w:rPr>
                <w:rFonts w:hint="eastAsia" w:ascii="宋体" w:hAnsi="宋体" w:eastAsia="宋体" w:cs="宋体"/>
                <w:kern w:val="2"/>
                <w:sz w:val="24"/>
                <w:szCs w:val="24"/>
              </w:rPr>
              <w:t>12导导联线、吸球、夹子</w:t>
            </w:r>
          </w:p>
          <w:p>
            <w:pPr>
              <w:pStyle w:val="6"/>
              <w:widowControl/>
              <w:numPr>
                <w:ilvl w:val="0"/>
                <w:numId w:val="3"/>
              </w:numPr>
              <w:spacing w:line="360" w:lineRule="auto"/>
              <w:ind w:right="420"/>
              <w:rPr>
                <w:rFonts w:ascii="宋体" w:hAnsi="宋体" w:eastAsia="宋体" w:cs="宋体"/>
                <w:kern w:val="2"/>
                <w:sz w:val="24"/>
                <w:szCs w:val="24"/>
              </w:rPr>
            </w:pPr>
            <w:r>
              <w:rPr>
                <w:rFonts w:hint="eastAsia" w:ascii="宋体" w:hAnsi="宋体" w:eastAsia="宋体" w:cs="宋体"/>
                <w:kern w:val="2"/>
                <w:sz w:val="24"/>
                <w:szCs w:val="24"/>
              </w:rPr>
              <w:t>12导心电图数据采集、传输软件</w:t>
            </w:r>
          </w:p>
          <w:p>
            <w:pPr>
              <w:pStyle w:val="6"/>
              <w:widowControl/>
              <w:numPr>
                <w:ilvl w:val="0"/>
                <w:numId w:val="3"/>
              </w:numPr>
              <w:spacing w:line="360" w:lineRule="auto"/>
              <w:ind w:right="420"/>
              <w:rPr>
                <w:rFonts w:ascii="宋体" w:hAnsi="宋体" w:eastAsia="宋体" w:cs="宋体"/>
                <w:kern w:val="2"/>
                <w:sz w:val="24"/>
                <w:szCs w:val="24"/>
              </w:rPr>
            </w:pPr>
            <w:r>
              <w:rPr>
                <w:rFonts w:hint="eastAsia" w:ascii="宋体" w:hAnsi="宋体" w:cs="宋体"/>
                <w:kern w:val="2"/>
                <w:sz w:val="24"/>
                <w:szCs w:val="24"/>
                <w:lang w:val="en-US" w:eastAsia="zh-CN"/>
              </w:rPr>
              <w:t>报告软件</w:t>
            </w:r>
          </w:p>
          <w:p>
            <w:pPr>
              <w:pStyle w:val="6"/>
              <w:widowControl/>
              <w:numPr>
                <w:ilvl w:val="0"/>
                <w:numId w:val="3"/>
              </w:numPr>
              <w:spacing w:line="360" w:lineRule="auto"/>
              <w:ind w:right="420"/>
              <w:rPr>
                <w:rFonts w:ascii="宋体" w:hAnsi="宋体" w:eastAsia="宋体" w:cs="宋体"/>
                <w:kern w:val="2"/>
                <w:sz w:val="24"/>
                <w:szCs w:val="24"/>
              </w:rPr>
            </w:pPr>
            <w:r>
              <w:rPr>
                <w:rFonts w:hint="eastAsia" w:ascii="宋体" w:hAnsi="宋体" w:cs="宋体"/>
                <w:kern w:val="2"/>
                <w:sz w:val="24"/>
                <w:szCs w:val="24"/>
                <w:lang w:val="en-US" w:eastAsia="zh-CN"/>
              </w:rPr>
              <w:t>电脑、显示器</w:t>
            </w:r>
          </w:p>
          <w:p>
            <w:pPr>
              <w:pStyle w:val="6"/>
              <w:widowControl/>
              <w:numPr>
                <w:ilvl w:val="0"/>
                <w:numId w:val="4"/>
              </w:numPr>
              <w:tabs>
                <w:tab w:val="left" w:pos="0"/>
              </w:tabs>
              <w:spacing w:line="360" w:lineRule="auto"/>
              <w:ind w:right="420"/>
              <w:rPr>
                <w:rFonts w:ascii="宋体" w:hAnsi="宋体" w:eastAsia="宋体" w:cs="宋体"/>
                <w:kern w:val="2"/>
                <w:sz w:val="24"/>
                <w:szCs w:val="24"/>
              </w:rPr>
            </w:pPr>
            <w:r>
              <w:rPr>
                <w:rFonts w:hint="eastAsia" w:ascii="宋体" w:hAnsi="宋体" w:cs="宋体"/>
                <w:kern w:val="2"/>
                <w:sz w:val="24"/>
                <w:szCs w:val="24"/>
                <w:lang w:val="en-US" w:eastAsia="zh-CN"/>
              </w:rPr>
              <w:t>打印机</w:t>
            </w:r>
          </w:p>
        </w:tc>
        <w:tc>
          <w:tcPr>
            <w:tcW w:w="861" w:type="dxa"/>
            <w:tcBorders>
              <w:top w:val="single" w:color="808080" w:sz="4" w:space="0"/>
              <w:left w:val="single" w:color="808080" w:sz="4" w:space="0"/>
              <w:bottom w:val="single" w:color="808080" w:sz="4" w:space="0"/>
              <w:right w:val="single" w:color="808080" w:sz="4" w:space="0"/>
            </w:tcBorders>
            <w:noWrap w:val="0"/>
            <w:vAlign w:val="center"/>
          </w:tcPr>
          <w:p>
            <w:pPr>
              <w:pStyle w:val="6"/>
              <w:widowControl/>
              <w:spacing w:line="360" w:lineRule="auto"/>
              <w:jc w:val="center"/>
              <w:rPr>
                <w:rFonts w:hint="default" w:ascii="宋体" w:hAnsi="宋体" w:eastAsia="宋体" w:cs="宋体"/>
                <w:kern w:val="2"/>
                <w:sz w:val="24"/>
                <w:szCs w:val="24"/>
                <w:lang w:val="en-US" w:eastAsia="zh-CN"/>
              </w:rPr>
            </w:pPr>
            <w:r>
              <w:rPr>
                <w:rFonts w:hint="eastAsia" w:ascii="宋体" w:hAnsi="宋体" w:cs="宋体"/>
                <w:kern w:val="2"/>
                <w:sz w:val="24"/>
                <w:szCs w:val="24"/>
                <w:lang w:val="en-US" w:eastAsia="zh-CN"/>
              </w:rPr>
              <w:t>1套</w:t>
            </w:r>
          </w:p>
        </w:tc>
      </w:tr>
    </w:tbl>
    <w:p>
      <w:pPr>
        <w:pStyle w:val="2"/>
        <w:rPr>
          <w:rFonts w:hint="default"/>
          <w:lang w:val="en-US" w:eastAsia="zh-CN"/>
        </w:rPr>
      </w:pPr>
    </w:p>
    <w:p>
      <w:pPr>
        <w:numPr>
          <w:ilvl w:val="0"/>
          <w:numId w:val="5"/>
        </w:numPr>
        <w:adjustRightInd w:val="0"/>
        <w:snapToGrid w:val="0"/>
        <w:spacing w:line="360" w:lineRule="auto"/>
        <w:ind w:left="709" w:hanging="709"/>
        <w:rPr>
          <w:rFonts w:hint="eastAsia" w:ascii="宋体" w:hAnsi="宋体" w:cs="宋体"/>
          <w:b/>
          <w:bCs/>
          <w:sz w:val="24"/>
          <w:szCs w:val="24"/>
        </w:rPr>
      </w:pPr>
      <w:r>
        <w:rPr>
          <w:rFonts w:hint="eastAsia" w:ascii="宋体" w:hAnsi="宋体" w:cs="宋体"/>
          <w:b/>
          <w:bCs/>
          <w:sz w:val="24"/>
          <w:szCs w:val="24"/>
        </w:rPr>
        <w:t>主要功能优势</w:t>
      </w:r>
    </w:p>
    <w:p>
      <w:pPr>
        <w:numPr>
          <w:ilvl w:val="0"/>
          <w:numId w:val="6"/>
        </w:numPr>
        <w:spacing w:line="360" w:lineRule="auto"/>
        <w:rPr>
          <w:rFonts w:hint="eastAsia" w:ascii="宋体" w:hAnsi="宋体" w:cs="宋体"/>
          <w:bCs/>
          <w:szCs w:val="21"/>
        </w:rPr>
      </w:pPr>
      <w:r>
        <w:rPr>
          <w:rFonts w:hint="eastAsia" w:ascii="宋体" w:hAnsi="宋体" w:cs="宋体"/>
          <w:bCs/>
          <w:szCs w:val="21"/>
        </w:rPr>
        <w:t>支持阿托品、心得安试验检查模式，且具有专业报告模板；</w:t>
      </w:r>
    </w:p>
    <w:p>
      <w:pPr>
        <w:numPr>
          <w:ilvl w:val="0"/>
          <w:numId w:val="6"/>
        </w:numPr>
        <w:spacing w:line="360" w:lineRule="auto"/>
        <w:rPr>
          <w:rFonts w:hint="eastAsia" w:ascii="宋体" w:hAnsi="宋体" w:cs="宋体"/>
          <w:bCs/>
          <w:szCs w:val="21"/>
        </w:rPr>
      </w:pPr>
      <w:r>
        <w:rPr>
          <w:rFonts w:hint="eastAsia" w:ascii="宋体" w:hAnsi="宋体" w:cs="宋体"/>
          <w:bCs/>
          <w:szCs w:val="21"/>
        </w:rPr>
        <w:t>具备长时间心电图采集功能：可连续采集120分钟以上心电图，并分析；</w:t>
      </w:r>
    </w:p>
    <w:p>
      <w:pPr>
        <w:numPr>
          <w:ilvl w:val="0"/>
          <w:numId w:val="6"/>
        </w:numPr>
        <w:adjustRightInd w:val="0"/>
        <w:snapToGrid w:val="0"/>
        <w:spacing w:line="360" w:lineRule="auto"/>
        <w:rPr>
          <w:rFonts w:hint="eastAsia" w:ascii="宋体" w:hAnsi="宋体" w:cs="宋体"/>
          <w:bCs/>
          <w:szCs w:val="21"/>
        </w:rPr>
      </w:pPr>
      <w:r>
        <w:rPr>
          <w:rFonts w:hint="eastAsia" w:ascii="宋体" w:hAnsi="宋体" w:cs="宋体"/>
          <w:bCs/>
          <w:szCs w:val="21"/>
        </w:rPr>
        <w:t>提供丰富的测量分析工具：多种电子测量尺、平行尺、波形微调、波形定标、多种波形显示方式、波形放大等；</w:t>
      </w:r>
    </w:p>
    <w:p>
      <w:pPr>
        <w:numPr>
          <w:ilvl w:val="0"/>
          <w:numId w:val="6"/>
        </w:numPr>
        <w:adjustRightInd w:val="0"/>
        <w:snapToGrid w:val="0"/>
        <w:spacing w:line="360" w:lineRule="auto"/>
        <w:rPr>
          <w:rFonts w:hint="eastAsia" w:ascii="宋体" w:hAnsi="宋体" w:cs="宋体"/>
          <w:bCs/>
          <w:szCs w:val="21"/>
        </w:rPr>
      </w:pPr>
      <w:r>
        <w:rPr>
          <w:rFonts w:hint="eastAsia" w:ascii="宋体" w:hAnsi="宋体" w:cs="宋体"/>
          <w:bCs/>
          <w:szCs w:val="21"/>
        </w:rPr>
        <w:t>高级分析功能：具备VCG（空间向量心电图）、TVCG（时间向量心电图）、FCG（频谱心电图）、VLP（心室晚电位）、HRV（心率变异）等多种高级分析功能；</w:t>
      </w:r>
    </w:p>
    <w:p>
      <w:pPr>
        <w:numPr>
          <w:ilvl w:val="0"/>
          <w:numId w:val="6"/>
        </w:numPr>
        <w:adjustRightInd w:val="0"/>
        <w:snapToGrid w:val="0"/>
        <w:spacing w:line="360" w:lineRule="auto"/>
        <w:rPr>
          <w:rFonts w:hint="eastAsia" w:ascii="宋体" w:hAnsi="宋体" w:cs="宋体"/>
          <w:bCs/>
          <w:szCs w:val="21"/>
        </w:rPr>
      </w:pPr>
      <w:r>
        <w:rPr>
          <w:rFonts w:hint="eastAsia" w:ascii="宋体" w:hAnsi="宋体" w:cs="宋体"/>
          <w:bCs/>
          <w:szCs w:val="21"/>
        </w:rPr>
        <w:t>心脏示意图功能：可针对不同心电图诊断结论，提供对应病变位置心脏示意图，结临床医生及患者提供病变部位参考；</w:t>
      </w:r>
    </w:p>
    <w:p>
      <w:pPr>
        <w:numPr>
          <w:ilvl w:val="0"/>
          <w:numId w:val="6"/>
        </w:numPr>
        <w:adjustRightInd w:val="0"/>
        <w:snapToGrid w:val="0"/>
        <w:spacing w:line="360" w:lineRule="auto"/>
        <w:rPr>
          <w:rFonts w:hint="eastAsia" w:ascii="宋体" w:hAnsi="宋体" w:cs="宋体"/>
          <w:bCs/>
          <w:szCs w:val="21"/>
        </w:rPr>
      </w:pPr>
      <w:r>
        <w:rPr>
          <w:rFonts w:hint="eastAsia" w:ascii="宋体" w:hAnsi="宋体" w:cs="宋体"/>
          <w:bCs/>
          <w:szCs w:val="21"/>
        </w:rPr>
        <w:t>病例随访功能：为心电图检查完成病人设置随访、预约随访功能，支持随访提醒及随访状态描述；</w:t>
      </w:r>
    </w:p>
    <w:p>
      <w:pPr>
        <w:numPr>
          <w:ilvl w:val="0"/>
          <w:numId w:val="6"/>
        </w:numPr>
        <w:adjustRightInd w:val="0"/>
        <w:snapToGrid w:val="0"/>
        <w:spacing w:line="360" w:lineRule="auto"/>
        <w:rPr>
          <w:rFonts w:hint="eastAsia" w:ascii="宋体" w:hAnsi="宋体" w:cs="宋体"/>
          <w:bCs/>
          <w:szCs w:val="21"/>
        </w:rPr>
      </w:pPr>
      <w:r>
        <w:rPr>
          <w:rFonts w:hint="eastAsia" w:ascii="宋体" w:hAnsi="宋体" w:cs="宋体"/>
          <w:bCs/>
          <w:szCs w:val="21"/>
        </w:rPr>
        <w:t>病例收藏功能：支持特殊病例、典型病例收藏功能，支持个人收藏及公开收藏，便于科室及医生开展科研学术；</w:t>
      </w:r>
    </w:p>
    <w:p>
      <w:pPr>
        <w:numPr>
          <w:ilvl w:val="0"/>
          <w:numId w:val="5"/>
        </w:numPr>
        <w:adjustRightInd w:val="0"/>
        <w:snapToGrid w:val="0"/>
        <w:spacing w:line="360" w:lineRule="auto"/>
        <w:ind w:left="709" w:hanging="709"/>
        <w:rPr>
          <w:rFonts w:hint="eastAsia" w:ascii="宋体" w:hAnsi="宋体" w:cs="宋体"/>
          <w:b/>
          <w:bCs/>
          <w:sz w:val="24"/>
          <w:szCs w:val="24"/>
        </w:rPr>
      </w:pPr>
      <w:r>
        <w:rPr>
          <w:rFonts w:hint="eastAsia" w:ascii="宋体" w:hAnsi="宋体" w:cs="宋体"/>
          <w:b/>
          <w:bCs/>
          <w:sz w:val="24"/>
          <w:szCs w:val="24"/>
        </w:rPr>
        <w:t>软件功能</w:t>
      </w:r>
    </w:p>
    <w:p>
      <w:pPr>
        <w:numPr>
          <w:ilvl w:val="0"/>
          <w:numId w:val="7"/>
        </w:numPr>
        <w:adjustRightInd w:val="0"/>
        <w:snapToGrid w:val="0"/>
        <w:spacing w:line="360" w:lineRule="auto"/>
        <w:rPr>
          <w:rFonts w:hint="eastAsia" w:ascii="宋体" w:hAnsi="宋体" w:cs="宋体"/>
          <w:b/>
          <w:bCs/>
          <w:szCs w:val="21"/>
        </w:rPr>
      </w:pPr>
      <w:r>
        <w:rPr>
          <w:rFonts w:hint="eastAsia" w:ascii="宋体" w:hAnsi="宋体" w:cs="宋体"/>
          <w:b/>
          <w:bCs/>
          <w:szCs w:val="21"/>
        </w:rPr>
        <w:t>波形采集</w:t>
      </w:r>
    </w:p>
    <w:p>
      <w:pPr>
        <w:numPr>
          <w:ilvl w:val="1"/>
          <w:numId w:val="8"/>
        </w:numPr>
        <w:adjustRightInd w:val="0"/>
        <w:snapToGrid w:val="0"/>
        <w:spacing w:line="360" w:lineRule="auto"/>
        <w:ind w:left="709" w:hanging="425"/>
        <w:rPr>
          <w:rFonts w:hint="eastAsia" w:ascii="宋体" w:hAnsi="宋体" w:cs="宋体"/>
          <w:bCs/>
          <w:szCs w:val="21"/>
        </w:rPr>
      </w:pPr>
      <w:r>
        <w:rPr>
          <w:rFonts w:hint="eastAsia" w:ascii="宋体" w:hAnsi="宋体" w:cs="宋体"/>
          <w:bCs/>
          <w:szCs w:val="21"/>
        </w:rPr>
        <w:t>采集模式：12导同步采集，支持兼容15导采集模式；</w:t>
      </w:r>
    </w:p>
    <w:p>
      <w:pPr>
        <w:numPr>
          <w:ilvl w:val="1"/>
          <w:numId w:val="8"/>
        </w:numPr>
        <w:adjustRightInd w:val="0"/>
        <w:snapToGrid w:val="0"/>
        <w:spacing w:line="360" w:lineRule="auto"/>
        <w:ind w:left="709" w:hanging="425"/>
        <w:rPr>
          <w:rFonts w:hint="eastAsia" w:ascii="宋体" w:hAnsi="宋体" w:cs="宋体"/>
          <w:bCs/>
          <w:szCs w:val="21"/>
        </w:rPr>
      </w:pPr>
      <w:r>
        <w:rPr>
          <w:rFonts w:hint="eastAsia" w:ascii="宋体" w:hAnsi="宋体" w:cs="宋体"/>
          <w:bCs/>
          <w:szCs w:val="21"/>
        </w:rPr>
        <w:t>导联模式：Wilson导联、Frank导联和正交导联三种导联模式；</w:t>
      </w:r>
    </w:p>
    <w:p>
      <w:pPr>
        <w:numPr>
          <w:ilvl w:val="1"/>
          <w:numId w:val="8"/>
        </w:numPr>
        <w:adjustRightInd w:val="0"/>
        <w:snapToGrid w:val="0"/>
        <w:spacing w:line="360" w:lineRule="auto"/>
        <w:ind w:left="709" w:hanging="425"/>
        <w:rPr>
          <w:rFonts w:hint="eastAsia" w:ascii="宋体" w:hAnsi="宋体" w:cs="宋体"/>
          <w:bCs/>
          <w:szCs w:val="21"/>
        </w:rPr>
      </w:pPr>
      <w:r>
        <w:rPr>
          <w:rFonts w:hint="eastAsia" w:ascii="宋体" w:hAnsi="宋体" w:cs="宋体"/>
          <w:bCs/>
          <w:szCs w:val="21"/>
        </w:rPr>
        <w:t>显示模式：</w:t>
      </w:r>
      <w:r>
        <w:rPr>
          <w:rFonts w:hint="eastAsia" w:ascii="宋体" w:hAnsi="宋体"/>
        </w:rPr>
        <w:t xml:space="preserve"> 12导：</w:t>
      </w:r>
      <w:r>
        <w:rPr>
          <w:rFonts w:ascii="宋体" w:hAnsi="宋体"/>
        </w:rPr>
        <w:t>12x1、6x2、3x4+1、3x4+2、3x4+3，</w:t>
      </w:r>
      <w:r>
        <w:rPr>
          <w:rFonts w:hint="eastAsia" w:ascii="宋体" w:hAnsi="宋体"/>
        </w:rPr>
        <w:t>15导：</w:t>
      </w:r>
      <w:r>
        <w:rPr>
          <w:rFonts w:ascii="宋体" w:hAnsi="宋体"/>
        </w:rPr>
        <w:t>15x1、5x3+1、663+1、5x3+3、3x5+3；</w:t>
      </w:r>
    </w:p>
    <w:p>
      <w:pPr>
        <w:numPr>
          <w:ilvl w:val="1"/>
          <w:numId w:val="8"/>
        </w:numPr>
        <w:adjustRightInd w:val="0"/>
        <w:snapToGrid w:val="0"/>
        <w:spacing w:line="360" w:lineRule="auto"/>
        <w:ind w:left="709" w:hanging="425"/>
        <w:rPr>
          <w:rFonts w:hint="eastAsia" w:ascii="宋体" w:hAnsi="宋体" w:cs="宋体"/>
          <w:bCs/>
          <w:szCs w:val="21"/>
        </w:rPr>
      </w:pPr>
      <w:r>
        <w:rPr>
          <w:rFonts w:hint="eastAsia" w:ascii="宋体" w:hAnsi="宋体" w:cs="宋体"/>
          <w:bCs/>
          <w:szCs w:val="21"/>
        </w:rPr>
        <w:t>灵敏度选择：</w:t>
      </w:r>
      <w:r>
        <w:rPr>
          <w:rFonts w:ascii="宋体" w:hAnsi="宋体" w:cs="宋体"/>
          <w:bCs/>
          <w:szCs w:val="21"/>
        </w:rPr>
        <w:t>2.5</w:t>
      </w:r>
      <w:r>
        <w:t xml:space="preserve"> </w:t>
      </w:r>
      <w:r>
        <w:rPr>
          <w:rFonts w:ascii="宋体" w:hAnsi="宋体" w:cs="宋体"/>
          <w:bCs/>
          <w:szCs w:val="21"/>
        </w:rPr>
        <w:t>mm/mv</w:t>
      </w:r>
      <w:r>
        <w:rPr>
          <w:rFonts w:hint="eastAsia" w:ascii="宋体" w:hAnsi="宋体" w:cs="宋体"/>
          <w:bCs/>
          <w:szCs w:val="21"/>
        </w:rPr>
        <w:t>、5 mm/mv、10 mm/mv、20 mm/mv；</w:t>
      </w:r>
    </w:p>
    <w:p>
      <w:pPr>
        <w:numPr>
          <w:ilvl w:val="1"/>
          <w:numId w:val="8"/>
        </w:numPr>
        <w:adjustRightInd w:val="0"/>
        <w:snapToGrid w:val="0"/>
        <w:spacing w:line="360" w:lineRule="auto"/>
        <w:ind w:left="709" w:hanging="425"/>
        <w:rPr>
          <w:rFonts w:hint="eastAsia" w:ascii="宋体" w:hAnsi="宋体" w:cs="Arial"/>
          <w:color w:val="000000"/>
          <w:szCs w:val="21"/>
        </w:rPr>
      </w:pPr>
      <w:r>
        <w:rPr>
          <w:rFonts w:hint="eastAsia" w:ascii="宋体" w:hAnsi="宋体" w:cs="宋体"/>
          <w:bCs/>
          <w:szCs w:val="21"/>
        </w:rPr>
        <w:t>走纸速度：</w:t>
      </w:r>
      <w:r>
        <w:rPr>
          <w:rFonts w:hint="eastAsia" w:ascii="宋体" w:hAnsi="宋体" w:cs="Arial"/>
          <w:color w:val="000000"/>
          <w:szCs w:val="21"/>
        </w:rPr>
        <w:t>12.5mm/s、25mm/s 、50mm/s；</w:t>
      </w:r>
    </w:p>
    <w:p>
      <w:pPr>
        <w:numPr>
          <w:ilvl w:val="1"/>
          <w:numId w:val="8"/>
        </w:numPr>
        <w:adjustRightInd w:val="0"/>
        <w:snapToGrid w:val="0"/>
        <w:spacing w:line="360" w:lineRule="auto"/>
        <w:ind w:left="709" w:hanging="425"/>
        <w:rPr>
          <w:rFonts w:hint="eastAsia" w:ascii="宋体" w:hAnsi="宋体" w:cs="宋体"/>
          <w:bCs/>
          <w:szCs w:val="21"/>
        </w:rPr>
      </w:pPr>
      <w:r>
        <w:rPr>
          <w:rFonts w:hint="eastAsia" w:ascii="宋体" w:hAnsi="宋体" w:cs="宋体"/>
          <w:bCs/>
          <w:szCs w:val="21"/>
        </w:rPr>
        <w:t>支持快速心电采集功能，适用于急诊及紧急情况下，快速完成心电图的采集；</w:t>
      </w:r>
    </w:p>
    <w:p>
      <w:pPr>
        <w:numPr>
          <w:ilvl w:val="1"/>
          <w:numId w:val="8"/>
        </w:numPr>
        <w:adjustRightInd w:val="0"/>
        <w:snapToGrid w:val="0"/>
        <w:spacing w:line="360" w:lineRule="auto"/>
        <w:ind w:left="709" w:hanging="425"/>
        <w:rPr>
          <w:rFonts w:hint="eastAsia" w:ascii="宋体" w:hAnsi="宋体" w:cs="宋体"/>
          <w:bCs/>
          <w:szCs w:val="21"/>
        </w:rPr>
      </w:pPr>
      <w:r>
        <w:rPr>
          <w:rFonts w:hint="eastAsia" w:ascii="宋体" w:hAnsi="宋体" w:cs="宋体"/>
          <w:bCs/>
          <w:szCs w:val="21"/>
        </w:rPr>
        <w:t>具备波形预采功能，可用于捕捉偶发、一过性的心律失常事件，预采集时间可设置；</w:t>
      </w:r>
    </w:p>
    <w:p>
      <w:pPr>
        <w:numPr>
          <w:ilvl w:val="1"/>
          <w:numId w:val="8"/>
        </w:numPr>
        <w:adjustRightInd w:val="0"/>
        <w:snapToGrid w:val="0"/>
        <w:spacing w:line="360" w:lineRule="auto"/>
        <w:ind w:left="709" w:hanging="425"/>
        <w:rPr>
          <w:rFonts w:hint="eastAsia" w:ascii="宋体" w:hAnsi="宋体" w:cs="宋体"/>
          <w:bCs/>
          <w:szCs w:val="21"/>
        </w:rPr>
      </w:pPr>
      <w:r>
        <w:rPr>
          <w:rFonts w:hint="eastAsia" w:ascii="宋体" w:hAnsi="宋体" w:cs="宋体"/>
          <w:bCs/>
          <w:szCs w:val="21"/>
        </w:rPr>
        <w:t>支持起搏心电采集功能；</w:t>
      </w:r>
    </w:p>
    <w:p>
      <w:pPr>
        <w:numPr>
          <w:ilvl w:val="0"/>
          <w:numId w:val="7"/>
        </w:numPr>
        <w:adjustRightInd w:val="0"/>
        <w:snapToGrid w:val="0"/>
        <w:spacing w:line="360" w:lineRule="auto"/>
        <w:rPr>
          <w:rFonts w:hint="eastAsia" w:ascii="宋体" w:hAnsi="宋体" w:cs="宋体"/>
          <w:b/>
          <w:bCs/>
          <w:szCs w:val="21"/>
        </w:rPr>
      </w:pPr>
      <w:r>
        <w:rPr>
          <w:rFonts w:hint="eastAsia" w:ascii="宋体" w:hAnsi="宋体" w:cs="宋体"/>
          <w:b/>
          <w:bCs/>
          <w:szCs w:val="21"/>
        </w:rPr>
        <w:t>分析诊断</w:t>
      </w:r>
    </w:p>
    <w:p>
      <w:pPr>
        <w:numPr>
          <w:ilvl w:val="0"/>
          <w:numId w:val="9"/>
        </w:numPr>
        <w:adjustRightInd w:val="0"/>
        <w:snapToGrid w:val="0"/>
        <w:spacing w:line="360" w:lineRule="auto"/>
        <w:rPr>
          <w:rFonts w:hint="eastAsia" w:ascii="宋体" w:hAnsi="宋体" w:cs="宋体"/>
          <w:bCs/>
          <w:szCs w:val="21"/>
        </w:rPr>
      </w:pPr>
      <w:r>
        <w:rPr>
          <w:rFonts w:hint="eastAsia" w:ascii="宋体" w:hAnsi="宋体" w:cs="宋体"/>
          <w:bCs/>
          <w:szCs w:val="21"/>
        </w:rPr>
        <w:t>具备自动测量、自动诊断功能，能够自动给出自动测量值与自动诊断结果，以辅助医生快速分析诊断；</w:t>
      </w:r>
    </w:p>
    <w:p>
      <w:pPr>
        <w:numPr>
          <w:ilvl w:val="0"/>
          <w:numId w:val="9"/>
        </w:numPr>
        <w:adjustRightInd w:val="0"/>
        <w:snapToGrid w:val="0"/>
        <w:spacing w:line="360" w:lineRule="auto"/>
        <w:rPr>
          <w:rFonts w:hint="eastAsia" w:ascii="宋体" w:hAnsi="宋体" w:cs="宋体"/>
          <w:bCs/>
          <w:szCs w:val="21"/>
        </w:rPr>
      </w:pPr>
      <w:r>
        <w:rPr>
          <w:rFonts w:hint="eastAsia" w:ascii="宋体" w:hAnsi="宋体" w:cs="宋体"/>
          <w:bCs/>
          <w:szCs w:val="21"/>
        </w:rPr>
        <w:t>系统自动分析的算法具有成人、儿童年龄异化分析、性别差异化分析；</w:t>
      </w:r>
    </w:p>
    <w:p>
      <w:pPr>
        <w:numPr>
          <w:ilvl w:val="0"/>
          <w:numId w:val="9"/>
        </w:numPr>
        <w:adjustRightInd w:val="0"/>
        <w:snapToGrid w:val="0"/>
        <w:spacing w:line="360" w:lineRule="auto"/>
        <w:rPr>
          <w:rFonts w:hint="eastAsia" w:ascii="宋体" w:hAnsi="宋体" w:cs="宋体"/>
          <w:bCs/>
          <w:szCs w:val="21"/>
        </w:rPr>
      </w:pPr>
      <w:r>
        <w:rPr>
          <w:rFonts w:hint="eastAsia" w:ascii="宋体" w:hAnsi="宋体" w:cs="宋体"/>
          <w:bCs/>
          <w:szCs w:val="21"/>
        </w:rPr>
        <w:t>平行尺功能：等距标尺可对间期倍数快速测量；对于波形重叠的心电图，支持重新排列以方便测量分析，测量精度达毫秒/微伏级。</w:t>
      </w:r>
    </w:p>
    <w:p>
      <w:pPr>
        <w:numPr>
          <w:ilvl w:val="0"/>
          <w:numId w:val="9"/>
        </w:numPr>
        <w:adjustRightInd w:val="0"/>
        <w:snapToGrid w:val="0"/>
        <w:spacing w:line="360" w:lineRule="auto"/>
        <w:rPr>
          <w:rFonts w:hint="eastAsia" w:ascii="宋体" w:hAnsi="宋体" w:cs="宋体"/>
          <w:bCs/>
          <w:szCs w:val="21"/>
        </w:rPr>
      </w:pPr>
      <w:r>
        <w:rPr>
          <w:rFonts w:hint="eastAsia" w:ascii="宋体" w:hAnsi="宋体" w:cs="宋体"/>
          <w:bCs/>
          <w:szCs w:val="21"/>
        </w:rPr>
        <w:t>同屏对比功能：患者历史检查数据同屏对比功能，可便于观察患者术前、术后心电图的变化情况；支持对比的显示格式有12导联同屏，3导联同屏，指定导联同屏同步对比等形式；</w:t>
      </w:r>
    </w:p>
    <w:p>
      <w:pPr>
        <w:numPr>
          <w:ilvl w:val="0"/>
          <w:numId w:val="9"/>
        </w:numPr>
        <w:adjustRightInd w:val="0"/>
        <w:snapToGrid w:val="0"/>
        <w:spacing w:line="360" w:lineRule="auto"/>
        <w:rPr>
          <w:rFonts w:hint="eastAsia" w:ascii="宋体" w:hAnsi="宋体" w:cs="宋体"/>
          <w:bCs/>
          <w:szCs w:val="21"/>
        </w:rPr>
      </w:pPr>
      <w:r>
        <w:rPr>
          <w:rFonts w:hint="eastAsia" w:ascii="宋体" w:hAnsi="宋体" w:cs="宋体"/>
          <w:bCs/>
          <w:szCs w:val="21"/>
        </w:rPr>
        <w:t>具备导联纠错功能：在肢体导联接反或胸导联接错的情况下，可以通过软件直接修正，无需重复采集；</w:t>
      </w:r>
    </w:p>
    <w:p>
      <w:pPr>
        <w:numPr>
          <w:ilvl w:val="0"/>
          <w:numId w:val="9"/>
        </w:numPr>
        <w:adjustRightInd w:val="0"/>
        <w:snapToGrid w:val="0"/>
        <w:spacing w:line="360" w:lineRule="auto"/>
        <w:rPr>
          <w:rFonts w:hint="eastAsia" w:ascii="宋体" w:hAnsi="宋体" w:cs="宋体"/>
          <w:bCs/>
          <w:szCs w:val="21"/>
        </w:rPr>
      </w:pPr>
      <w:r>
        <w:rPr>
          <w:rFonts w:hint="eastAsia" w:ascii="宋体" w:hAnsi="宋体" w:cs="宋体"/>
          <w:bCs/>
          <w:szCs w:val="21"/>
        </w:rPr>
        <w:t>心拍放大分析功能：支持任意心搏单击放大分析，可对每个P、Q、T测量点进行手动微调，使测量结果更加精准；每个单击放大QRS波群测量参数不少于30种，并且支持12导波形叠加对比；</w:t>
      </w:r>
    </w:p>
    <w:p>
      <w:pPr>
        <w:numPr>
          <w:ilvl w:val="0"/>
          <w:numId w:val="9"/>
        </w:numPr>
        <w:adjustRightInd w:val="0"/>
        <w:snapToGrid w:val="0"/>
        <w:spacing w:line="360" w:lineRule="auto"/>
        <w:rPr>
          <w:rFonts w:hint="eastAsia" w:ascii="宋体" w:hAnsi="宋体" w:cs="宋体"/>
          <w:bCs/>
          <w:szCs w:val="21"/>
        </w:rPr>
      </w:pPr>
      <w:r>
        <w:rPr>
          <w:rFonts w:hint="eastAsia" w:ascii="宋体" w:hAnsi="宋体" w:cs="宋体"/>
          <w:bCs/>
          <w:szCs w:val="21"/>
        </w:rPr>
        <w:t>具备心电事件功能；</w:t>
      </w:r>
    </w:p>
    <w:p>
      <w:pPr>
        <w:numPr>
          <w:ilvl w:val="0"/>
          <w:numId w:val="7"/>
        </w:numPr>
        <w:adjustRightInd w:val="0"/>
        <w:snapToGrid w:val="0"/>
        <w:spacing w:line="360" w:lineRule="auto"/>
        <w:rPr>
          <w:rFonts w:hint="eastAsia" w:ascii="宋体" w:hAnsi="宋体" w:cs="宋体"/>
          <w:b/>
          <w:bCs/>
          <w:szCs w:val="21"/>
        </w:rPr>
      </w:pPr>
      <w:r>
        <w:rPr>
          <w:rFonts w:hint="eastAsia" w:ascii="宋体" w:hAnsi="宋体" w:cs="宋体"/>
          <w:b/>
          <w:bCs/>
          <w:szCs w:val="21"/>
        </w:rPr>
        <w:t>病历管理</w:t>
      </w:r>
    </w:p>
    <w:p>
      <w:pPr>
        <w:numPr>
          <w:ilvl w:val="0"/>
          <w:numId w:val="10"/>
        </w:numPr>
        <w:adjustRightInd w:val="0"/>
        <w:snapToGrid w:val="0"/>
        <w:spacing w:line="360" w:lineRule="auto"/>
        <w:rPr>
          <w:rFonts w:hint="eastAsia" w:ascii="宋体" w:hAnsi="宋体" w:cs="宋体"/>
          <w:bCs/>
          <w:szCs w:val="21"/>
        </w:rPr>
      </w:pPr>
      <w:r>
        <w:rPr>
          <w:rFonts w:hint="eastAsia" w:ascii="宋体" w:hAnsi="宋体" w:cs="宋体"/>
          <w:bCs/>
          <w:szCs w:val="21"/>
        </w:rPr>
        <w:t>支持新病历到达即时提醒功能：在接收新病例时有文字及声音提醒；</w:t>
      </w:r>
    </w:p>
    <w:p>
      <w:pPr>
        <w:numPr>
          <w:ilvl w:val="0"/>
          <w:numId w:val="10"/>
        </w:numPr>
        <w:adjustRightInd w:val="0"/>
        <w:snapToGrid w:val="0"/>
        <w:spacing w:line="360" w:lineRule="auto"/>
        <w:rPr>
          <w:rFonts w:hint="eastAsia" w:ascii="宋体" w:hAnsi="宋体" w:cs="宋体"/>
          <w:bCs/>
          <w:szCs w:val="21"/>
        </w:rPr>
      </w:pPr>
      <w:r>
        <w:rPr>
          <w:rFonts w:hint="eastAsia" w:ascii="宋体" w:hAnsi="宋体" w:cs="宋体"/>
          <w:bCs/>
          <w:szCs w:val="21"/>
        </w:rPr>
        <w:t>支持对病历进行查询、回放、编辑、导入、导出、传输、打印等功能，方便医生随时调阅病例报告；</w:t>
      </w:r>
    </w:p>
    <w:p>
      <w:pPr>
        <w:numPr>
          <w:ilvl w:val="0"/>
          <w:numId w:val="10"/>
        </w:numPr>
        <w:adjustRightInd w:val="0"/>
        <w:snapToGrid w:val="0"/>
        <w:spacing w:line="360" w:lineRule="auto"/>
        <w:rPr>
          <w:rFonts w:hint="eastAsia" w:ascii="宋体" w:hAnsi="宋体" w:cs="宋体"/>
          <w:bCs/>
          <w:szCs w:val="21"/>
        </w:rPr>
      </w:pPr>
      <w:r>
        <w:rPr>
          <w:rFonts w:hint="eastAsia" w:ascii="宋体" w:hAnsi="宋体" w:cs="宋体"/>
          <w:bCs/>
          <w:szCs w:val="21"/>
        </w:rPr>
        <w:t>具备病历状态显示：包含检查状态、报告状态、审核状态与打印状态；</w:t>
      </w:r>
    </w:p>
    <w:p>
      <w:pPr>
        <w:numPr>
          <w:ilvl w:val="0"/>
          <w:numId w:val="10"/>
        </w:numPr>
        <w:adjustRightInd w:val="0"/>
        <w:snapToGrid w:val="0"/>
        <w:spacing w:line="360" w:lineRule="auto"/>
        <w:rPr>
          <w:rFonts w:hint="eastAsia" w:ascii="宋体" w:hAnsi="宋体" w:cs="宋体"/>
          <w:bCs/>
          <w:szCs w:val="21"/>
        </w:rPr>
      </w:pPr>
      <w:r>
        <w:rPr>
          <w:rFonts w:hint="eastAsia" w:ascii="宋体" w:hAnsi="宋体" w:cs="宋体"/>
          <w:bCs/>
          <w:szCs w:val="21"/>
        </w:rPr>
        <w:t>具备病历查询功能：可根据时间、患者所有信息、检查类别、申请科室、报告医生、临床诊断、信息组合查询等多种查询方式；</w:t>
      </w:r>
    </w:p>
    <w:p>
      <w:pPr>
        <w:numPr>
          <w:ilvl w:val="0"/>
          <w:numId w:val="10"/>
        </w:numPr>
        <w:adjustRightInd w:val="0"/>
        <w:snapToGrid w:val="0"/>
        <w:spacing w:line="360" w:lineRule="auto"/>
        <w:rPr>
          <w:rFonts w:hint="eastAsia" w:ascii="宋体" w:hAnsi="宋体" w:cs="宋体"/>
          <w:bCs/>
          <w:szCs w:val="21"/>
        </w:rPr>
      </w:pPr>
      <w:r>
        <w:rPr>
          <w:rFonts w:hint="eastAsia" w:ascii="宋体" w:hAnsi="宋体" w:cs="宋体"/>
          <w:bCs/>
          <w:szCs w:val="21"/>
        </w:rPr>
        <w:t>具备病历导入、导出功能：可将病历导入或导出系统软件，支持导出XML、源始数据、HL7、图文报告、Excel等多种格式；</w:t>
      </w:r>
    </w:p>
    <w:p>
      <w:pPr>
        <w:numPr>
          <w:ilvl w:val="0"/>
          <w:numId w:val="10"/>
        </w:numPr>
        <w:adjustRightInd w:val="0"/>
        <w:snapToGrid w:val="0"/>
        <w:spacing w:line="360" w:lineRule="auto"/>
        <w:rPr>
          <w:rFonts w:hint="eastAsia" w:ascii="宋体" w:hAnsi="宋体" w:cs="宋体"/>
          <w:bCs/>
          <w:szCs w:val="21"/>
        </w:rPr>
      </w:pPr>
      <w:r>
        <w:rPr>
          <w:rFonts w:hint="eastAsia" w:ascii="宋体" w:hAnsi="宋体" w:cs="宋体"/>
          <w:bCs/>
          <w:szCs w:val="21"/>
        </w:rPr>
        <w:t>具备病历合并功能：可将有数据无病历信息和有病历信息无数据的两条不完整病历合并为一条既有病历信息又有数据的完整病历；</w:t>
      </w:r>
    </w:p>
    <w:p>
      <w:pPr>
        <w:numPr>
          <w:ilvl w:val="0"/>
          <w:numId w:val="7"/>
        </w:numPr>
        <w:adjustRightInd w:val="0"/>
        <w:snapToGrid w:val="0"/>
        <w:spacing w:line="360" w:lineRule="auto"/>
        <w:rPr>
          <w:rFonts w:hint="eastAsia" w:ascii="宋体" w:hAnsi="宋体" w:cs="宋体"/>
          <w:b/>
          <w:bCs/>
          <w:szCs w:val="21"/>
        </w:rPr>
      </w:pPr>
      <w:r>
        <w:rPr>
          <w:rFonts w:hint="eastAsia" w:ascii="宋体" w:hAnsi="宋体" w:cs="宋体"/>
          <w:b/>
          <w:bCs/>
          <w:szCs w:val="21"/>
        </w:rPr>
        <w:t>报告编辑与打印</w:t>
      </w:r>
    </w:p>
    <w:p>
      <w:pPr>
        <w:numPr>
          <w:ilvl w:val="0"/>
          <w:numId w:val="11"/>
        </w:numPr>
        <w:adjustRightInd w:val="0"/>
        <w:snapToGrid w:val="0"/>
        <w:spacing w:line="360" w:lineRule="auto"/>
        <w:rPr>
          <w:rFonts w:hint="eastAsia" w:ascii="宋体" w:hAnsi="宋体" w:cs="宋体"/>
          <w:bCs/>
          <w:szCs w:val="21"/>
        </w:rPr>
      </w:pPr>
      <w:r>
        <w:rPr>
          <w:rFonts w:hint="eastAsia" w:ascii="宋体" w:hAnsi="宋体" w:cs="宋体"/>
          <w:bCs/>
          <w:szCs w:val="21"/>
        </w:rPr>
        <w:t>具有标准的心电图诊断摸板报告助手，以辅助医生快速诊断心电图；</w:t>
      </w:r>
    </w:p>
    <w:p>
      <w:pPr>
        <w:numPr>
          <w:ilvl w:val="0"/>
          <w:numId w:val="11"/>
        </w:numPr>
        <w:adjustRightInd w:val="0"/>
        <w:snapToGrid w:val="0"/>
        <w:spacing w:line="360" w:lineRule="auto"/>
        <w:rPr>
          <w:rFonts w:hint="eastAsia" w:ascii="宋体" w:hAnsi="宋体" w:cs="宋体"/>
          <w:bCs/>
          <w:szCs w:val="21"/>
        </w:rPr>
      </w:pPr>
      <w:r>
        <w:rPr>
          <w:rFonts w:hint="eastAsia" w:ascii="宋体" w:hAnsi="宋体" w:cs="宋体"/>
          <w:bCs/>
          <w:szCs w:val="21"/>
        </w:rPr>
        <w:t>特殊字符：具备特殊字符按钮，方便用户快速输入导联标识、数学符号等特殊字符；</w:t>
      </w:r>
    </w:p>
    <w:p>
      <w:pPr>
        <w:numPr>
          <w:ilvl w:val="0"/>
          <w:numId w:val="11"/>
        </w:numPr>
        <w:adjustRightInd w:val="0"/>
        <w:snapToGrid w:val="0"/>
        <w:spacing w:line="360" w:lineRule="auto"/>
        <w:rPr>
          <w:rFonts w:hint="eastAsia" w:ascii="宋体" w:hAnsi="宋体" w:cs="宋体"/>
          <w:bCs/>
          <w:szCs w:val="21"/>
        </w:rPr>
      </w:pPr>
      <w:r>
        <w:rPr>
          <w:rFonts w:hint="eastAsia" w:ascii="宋体" w:hAnsi="宋体" w:cs="宋体"/>
          <w:bCs/>
          <w:szCs w:val="21"/>
        </w:rPr>
        <w:t>具有多种报告模板，且报告模板可根据医院需求，自由灵活变动和自定义添加；</w:t>
      </w:r>
    </w:p>
    <w:p>
      <w:pPr>
        <w:numPr>
          <w:ilvl w:val="0"/>
          <w:numId w:val="11"/>
        </w:numPr>
        <w:adjustRightInd w:val="0"/>
        <w:snapToGrid w:val="0"/>
        <w:spacing w:line="360" w:lineRule="auto"/>
        <w:rPr>
          <w:rFonts w:hint="eastAsia" w:ascii="宋体" w:hAnsi="宋体" w:cs="宋体"/>
          <w:bCs/>
          <w:szCs w:val="21"/>
        </w:rPr>
      </w:pPr>
      <w:r>
        <w:rPr>
          <w:rFonts w:hint="eastAsia" w:ascii="宋体" w:hAnsi="宋体" w:cs="宋体"/>
          <w:bCs/>
          <w:szCs w:val="21"/>
        </w:rPr>
        <w:t>具备心脏示意图、阿托品、心得安试验检专业报告模板；</w:t>
      </w:r>
    </w:p>
    <w:p>
      <w:pPr>
        <w:numPr>
          <w:ilvl w:val="0"/>
          <w:numId w:val="11"/>
        </w:numPr>
        <w:adjustRightInd w:val="0"/>
        <w:snapToGrid w:val="0"/>
        <w:spacing w:line="360" w:lineRule="auto"/>
        <w:rPr>
          <w:rFonts w:hint="eastAsia" w:ascii="宋体" w:hAnsi="宋体" w:cs="宋体"/>
          <w:bCs/>
          <w:szCs w:val="21"/>
        </w:rPr>
      </w:pPr>
      <w:r>
        <w:rPr>
          <w:rFonts w:hint="eastAsia" w:ascii="宋体" w:hAnsi="宋体" w:cs="宋体"/>
          <w:bCs/>
          <w:szCs w:val="21"/>
        </w:rPr>
        <w:t>支持外接激光打印机，通过A4纸打印心电报告；</w:t>
      </w:r>
    </w:p>
    <w:p>
      <w:pPr>
        <w:numPr>
          <w:ilvl w:val="0"/>
          <w:numId w:val="7"/>
        </w:numPr>
        <w:adjustRightInd w:val="0"/>
        <w:snapToGrid w:val="0"/>
        <w:spacing w:line="360" w:lineRule="auto"/>
        <w:rPr>
          <w:rFonts w:hint="eastAsia" w:ascii="宋体" w:hAnsi="宋体" w:cs="宋体"/>
          <w:b/>
          <w:bCs/>
          <w:szCs w:val="21"/>
        </w:rPr>
      </w:pPr>
      <w:r>
        <w:rPr>
          <w:rFonts w:hint="eastAsia" w:ascii="宋体" w:hAnsi="宋体" w:cs="宋体"/>
          <w:b/>
          <w:bCs/>
          <w:szCs w:val="21"/>
        </w:rPr>
        <w:t>网络与传输</w:t>
      </w:r>
    </w:p>
    <w:p>
      <w:pPr>
        <w:numPr>
          <w:ilvl w:val="0"/>
          <w:numId w:val="12"/>
        </w:numPr>
        <w:adjustRightInd w:val="0"/>
        <w:snapToGrid w:val="0"/>
        <w:spacing w:line="360" w:lineRule="auto"/>
        <w:rPr>
          <w:rFonts w:hint="eastAsia" w:ascii="宋体" w:hAnsi="宋体" w:cs="宋体"/>
          <w:bCs/>
          <w:szCs w:val="21"/>
        </w:rPr>
      </w:pPr>
      <w:r>
        <w:rPr>
          <w:rFonts w:hint="eastAsia" w:ascii="宋体" w:hAnsi="宋体" w:cs="宋体"/>
          <w:bCs/>
          <w:szCs w:val="21"/>
        </w:rPr>
        <w:t>支持与医院心电信息管理系统、HIS\EMR无缝集成，实现全院心电数据的统一存储与统一管理；</w:t>
      </w:r>
    </w:p>
    <w:p>
      <w:pPr>
        <w:numPr>
          <w:ilvl w:val="0"/>
          <w:numId w:val="12"/>
        </w:numPr>
        <w:adjustRightInd w:val="0"/>
        <w:snapToGrid w:val="0"/>
        <w:spacing w:line="360" w:lineRule="auto"/>
        <w:rPr>
          <w:rFonts w:hint="eastAsia" w:ascii="宋体" w:hAnsi="宋体" w:cs="宋体"/>
          <w:bCs/>
          <w:szCs w:val="21"/>
        </w:rPr>
      </w:pPr>
      <w:r>
        <w:rPr>
          <w:rFonts w:hint="eastAsia" w:ascii="宋体" w:hAnsi="宋体" w:cs="宋体"/>
          <w:bCs/>
          <w:szCs w:val="21"/>
        </w:rPr>
        <w:t>支持选配远程会诊功能，病历可通过本机进行发送与接收，实现远程会诊；</w:t>
      </w:r>
    </w:p>
    <w:p>
      <w:pPr>
        <w:numPr>
          <w:ilvl w:val="0"/>
          <w:numId w:val="0"/>
        </w:numPr>
        <w:spacing w:line="276" w:lineRule="auto"/>
        <w:ind w:left="630" w:leftChars="100" w:hanging="420" w:hangingChars="200"/>
        <w:rPr>
          <w:rFonts w:hint="eastAsia" w:ascii="宋体" w:hAnsi="宋体" w:eastAsia="宋体" w:cs="Times New Roman"/>
          <w:szCs w:val="21"/>
          <w:lang w:val="en-US" w:eastAsia="zh-CN"/>
        </w:rPr>
      </w:pPr>
      <w:r>
        <w:rPr>
          <w:rFonts w:hint="eastAsia" w:ascii="宋体" w:hAnsi="宋体" w:cs="宋体"/>
          <w:b w:val="0"/>
          <w:bCs/>
          <w:kern w:val="2"/>
          <w:sz w:val="21"/>
          <w:szCs w:val="21"/>
          <w:lang w:val="en-US" w:eastAsia="zh-CN" w:bidi="ar-SA"/>
        </w:rPr>
        <w:t>5.3</w:t>
      </w:r>
      <w:r>
        <w:rPr>
          <w:rFonts w:hint="eastAsia" w:ascii="宋体" w:hAnsi="宋体" w:eastAsia="宋体" w:cs="宋体"/>
          <w:b w:val="0"/>
          <w:bCs/>
          <w:kern w:val="2"/>
          <w:sz w:val="21"/>
          <w:szCs w:val="21"/>
          <w:lang w:val="en-US" w:eastAsia="zh-CN" w:bidi="ar-SA"/>
        </w:rPr>
        <w:t>▲</w:t>
      </w:r>
      <w:r>
        <w:rPr>
          <w:rFonts w:hint="eastAsia" w:ascii="宋体" w:hAnsi="宋体"/>
          <w:szCs w:val="21"/>
          <w:lang w:val="en-US" w:eastAsia="zh-CN"/>
        </w:rPr>
        <w:t>特殊性要求：考虑到系统的稳定性及维护管理的便利性，要求所投产品必须通过WIFI上传数据到医院现用的心电电生理信息网络系统，能与本系</w:t>
      </w:r>
      <w:r>
        <w:rPr>
          <w:rFonts w:hint="eastAsia" w:ascii="宋体" w:hAnsi="宋体" w:eastAsia="宋体" w:cs="Times New Roman"/>
          <w:szCs w:val="21"/>
          <w:lang w:val="en-US" w:eastAsia="zh-CN"/>
        </w:rPr>
        <w:t>统无缝对接。</w:t>
      </w:r>
    </w:p>
    <w:p>
      <w:pPr>
        <w:numPr>
          <w:ilvl w:val="0"/>
          <w:numId w:val="0"/>
        </w:numPr>
        <w:spacing w:line="276" w:lineRule="auto"/>
        <w:ind w:leftChars="0" w:firstLine="210" w:firstLineChars="100"/>
        <w:rPr>
          <w:rFonts w:hint="eastAsia" w:ascii="宋体" w:hAnsi="宋体" w:eastAsia="宋体" w:cs="Times New Roman"/>
          <w:szCs w:val="21"/>
          <w:lang w:val="en-US" w:eastAsia="zh-CN"/>
        </w:rPr>
      </w:pPr>
      <w:r>
        <w:rPr>
          <w:rFonts w:hint="eastAsia" w:ascii="宋体" w:hAnsi="宋体" w:cs="Times New Roman"/>
          <w:szCs w:val="21"/>
          <w:lang w:val="en-US" w:eastAsia="zh-CN"/>
        </w:rPr>
        <w:t>5.4</w:t>
      </w:r>
      <w:r>
        <w:rPr>
          <w:rFonts w:hint="eastAsia" w:ascii="宋体" w:hAnsi="宋体" w:eastAsia="宋体" w:cs="Times New Roman"/>
          <w:szCs w:val="21"/>
          <w:lang w:val="en-US" w:eastAsia="zh-CN"/>
        </w:rPr>
        <w:t>▲心电设备需兼容医院现有心电信息管理系统，承担技术接入支持和相关接口费用</w:t>
      </w:r>
    </w:p>
    <w:p>
      <w:pPr>
        <w:pStyle w:val="2"/>
        <w:rPr>
          <w:rFonts w:hint="eastAsia"/>
        </w:rPr>
      </w:pPr>
    </w:p>
    <w:p>
      <w:pPr>
        <w:pStyle w:val="2"/>
        <w:rPr>
          <w:rFonts w:hint="eastAsia"/>
        </w:rPr>
      </w:pPr>
    </w:p>
    <w:p>
      <w:pPr>
        <w:numPr>
          <w:ilvl w:val="0"/>
          <w:numId w:val="7"/>
        </w:numPr>
        <w:adjustRightInd w:val="0"/>
        <w:snapToGrid w:val="0"/>
        <w:spacing w:line="360" w:lineRule="auto"/>
        <w:rPr>
          <w:rFonts w:hint="eastAsia" w:ascii="宋体" w:hAnsi="宋体" w:cs="宋体"/>
          <w:b/>
          <w:bCs/>
          <w:szCs w:val="21"/>
        </w:rPr>
      </w:pPr>
      <w:r>
        <w:rPr>
          <w:rFonts w:hint="eastAsia" w:ascii="宋体" w:hAnsi="宋体" w:cs="宋体"/>
          <w:b/>
          <w:bCs/>
          <w:szCs w:val="21"/>
        </w:rPr>
        <w:t>权限管理</w:t>
      </w:r>
    </w:p>
    <w:p>
      <w:pPr>
        <w:numPr>
          <w:ilvl w:val="0"/>
          <w:numId w:val="13"/>
        </w:numPr>
        <w:adjustRightInd w:val="0"/>
        <w:snapToGrid w:val="0"/>
        <w:spacing w:line="360" w:lineRule="auto"/>
        <w:rPr>
          <w:rFonts w:hint="eastAsia" w:ascii="宋体" w:hAnsi="宋体" w:cs="宋体"/>
          <w:bCs/>
          <w:szCs w:val="21"/>
        </w:rPr>
      </w:pPr>
      <w:r>
        <w:rPr>
          <w:rFonts w:hint="eastAsia" w:ascii="宋体" w:hAnsi="宋体" w:cs="宋体"/>
          <w:bCs/>
          <w:szCs w:val="21"/>
        </w:rPr>
        <w:t>具有权限管理功能，可根据不同使用医生权限，分配医生分析、报告及审核等功能，支持多级审核；</w:t>
      </w:r>
    </w:p>
    <w:p>
      <w:pPr>
        <w:numPr>
          <w:ilvl w:val="0"/>
          <w:numId w:val="13"/>
        </w:numPr>
        <w:adjustRightInd w:val="0"/>
        <w:snapToGrid w:val="0"/>
        <w:spacing w:line="360" w:lineRule="auto"/>
        <w:rPr>
          <w:rFonts w:hint="eastAsia" w:ascii="宋体" w:hAnsi="宋体" w:cs="宋体"/>
          <w:bCs/>
          <w:szCs w:val="21"/>
        </w:rPr>
      </w:pPr>
      <w:r>
        <w:rPr>
          <w:rFonts w:hint="eastAsia" w:ascii="宋体" w:hAnsi="宋体" w:cs="宋体"/>
          <w:bCs/>
          <w:szCs w:val="21"/>
        </w:rPr>
        <w:t>具备用户管理功能，可科室医生的实际情况进行用户的增、删；</w:t>
      </w:r>
    </w:p>
    <w:p>
      <w:pPr>
        <w:numPr>
          <w:ilvl w:val="0"/>
          <w:numId w:val="5"/>
        </w:numPr>
        <w:adjustRightInd w:val="0"/>
        <w:snapToGrid w:val="0"/>
        <w:spacing w:line="360" w:lineRule="auto"/>
        <w:ind w:left="709" w:hanging="709"/>
        <w:rPr>
          <w:rFonts w:hint="eastAsia" w:ascii="宋体" w:hAnsi="宋体" w:cs="宋体"/>
          <w:b/>
          <w:bCs/>
          <w:sz w:val="24"/>
          <w:szCs w:val="24"/>
        </w:rPr>
      </w:pPr>
      <w:r>
        <w:rPr>
          <w:rFonts w:hint="eastAsia" w:ascii="宋体" w:hAnsi="宋体" w:cs="宋体"/>
          <w:b/>
          <w:bCs/>
          <w:sz w:val="24"/>
          <w:szCs w:val="24"/>
        </w:rPr>
        <w:t>主要技术指标</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ECG输入： 12导同步采集、同屏显示</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输入阻抗：≥5MΩ</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输入回路电流：≤0.1μA</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噪声：≤15μVp-p</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共模抑制比：≥89dB</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时间常数：≥3.2s</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耐极化电压：在±300mV直流极化电压下，灵敏度变化不超过±5%</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A/D转换：24bit</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定标电压：1mV±5%</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标准灵敏度：10mm/mV+5%</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灵敏度转换误差：由10mm/mV转换为5 mm/mV、20mm/mV时，转换误差不大于±5%</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走纸速度：在25mm/s和50mm/s纸速时,误差不超过±5%</w:t>
      </w:r>
    </w:p>
    <w:p>
      <w:pPr>
        <w:numPr>
          <w:ilvl w:val="1"/>
          <w:numId w:val="14"/>
        </w:numPr>
        <w:adjustRightInd w:val="0"/>
        <w:snapToGrid w:val="0"/>
        <w:spacing w:line="360" w:lineRule="auto"/>
        <w:ind w:left="426" w:hanging="426"/>
        <w:rPr>
          <w:rFonts w:hint="eastAsia" w:ascii="宋体" w:hAnsi="宋体" w:cs="宋体"/>
          <w:bCs/>
          <w:szCs w:val="21"/>
        </w:rPr>
      </w:pPr>
      <w:r>
        <w:rPr>
          <w:rFonts w:hint="eastAsia" w:ascii="宋体" w:hAnsi="宋体" w:cs="宋体"/>
          <w:bCs/>
          <w:szCs w:val="21"/>
        </w:rPr>
        <w:t>抗干扰滤波：具有交流滤波、肌电滤波、基线滤波</w:t>
      </w:r>
    </w:p>
    <w:p>
      <w:pPr>
        <w:numPr>
          <w:ilvl w:val="1"/>
          <w:numId w:val="14"/>
        </w:numPr>
        <w:adjustRightInd w:val="0"/>
        <w:snapToGrid w:val="0"/>
        <w:spacing w:line="360" w:lineRule="auto"/>
        <w:ind w:left="426" w:hanging="426"/>
      </w:pPr>
      <w:r>
        <w:rPr>
          <w:rFonts w:hint="eastAsia" w:ascii="宋体" w:hAnsi="宋体" w:cs="宋体"/>
          <w:bCs/>
          <w:szCs w:val="21"/>
        </w:rPr>
        <w:t>工频干扰抑制器：抑制比不小于20dB</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pStyle w:val="3"/>
      <w:lvlText w:val="%1."/>
      <w:lvlJc w:val="left"/>
      <w:pPr>
        <w:ind w:left="1680" w:hanging="420"/>
      </w:pPr>
    </w:lvl>
    <w:lvl w:ilvl="1" w:tentative="0">
      <w:start w:val="1"/>
      <w:numFmt w:val="lowerLetter"/>
      <w:lvlText w:val="%2)"/>
      <w:lvlJc w:val="left"/>
      <w:pPr>
        <w:ind w:left="2100" w:hanging="420"/>
      </w:pPr>
    </w:lvl>
    <w:lvl w:ilvl="2" w:tentative="0">
      <w:start w:val="1"/>
      <w:numFmt w:val="lowerRoman"/>
      <w:lvlText w:val="%3."/>
      <w:lvlJc w:val="right"/>
      <w:pPr>
        <w:ind w:left="2520" w:hanging="420"/>
      </w:pPr>
    </w:lvl>
    <w:lvl w:ilvl="3" w:tentative="0">
      <w:start w:val="1"/>
      <w:numFmt w:val="decimal"/>
      <w:lvlText w:val="%4."/>
      <w:lvlJc w:val="left"/>
      <w:pPr>
        <w:ind w:left="2940" w:hanging="420"/>
      </w:pPr>
    </w:lvl>
    <w:lvl w:ilvl="4" w:tentative="0">
      <w:start w:val="1"/>
      <w:numFmt w:val="lowerLetter"/>
      <w:lvlText w:val="%5)"/>
      <w:lvlJc w:val="left"/>
      <w:pPr>
        <w:ind w:left="3360" w:hanging="420"/>
      </w:pPr>
    </w:lvl>
    <w:lvl w:ilvl="5" w:tentative="0">
      <w:start w:val="1"/>
      <w:numFmt w:val="lowerRoman"/>
      <w:lvlText w:val="%6."/>
      <w:lvlJc w:val="right"/>
      <w:pPr>
        <w:ind w:left="3780" w:hanging="420"/>
      </w:pPr>
    </w:lvl>
    <w:lvl w:ilvl="6" w:tentative="0">
      <w:start w:val="1"/>
      <w:numFmt w:val="decimal"/>
      <w:lvlText w:val="%7."/>
      <w:lvlJc w:val="left"/>
      <w:pPr>
        <w:ind w:left="4200" w:hanging="420"/>
      </w:pPr>
    </w:lvl>
    <w:lvl w:ilvl="7" w:tentative="0">
      <w:start w:val="1"/>
      <w:numFmt w:val="lowerLetter"/>
      <w:lvlText w:val="%8)"/>
      <w:lvlJc w:val="left"/>
      <w:pPr>
        <w:ind w:left="4620" w:hanging="420"/>
      </w:pPr>
    </w:lvl>
    <w:lvl w:ilvl="8" w:tentative="0">
      <w:start w:val="1"/>
      <w:numFmt w:val="lowerRoman"/>
      <w:lvlText w:val="%9."/>
      <w:lvlJc w:val="right"/>
      <w:pPr>
        <w:ind w:left="5040" w:hanging="420"/>
      </w:pPr>
    </w:lvl>
  </w:abstractNum>
  <w:abstractNum w:abstractNumId="1">
    <w:nsid w:val="007F3D53"/>
    <w:multiLevelType w:val="multilevel"/>
    <w:tmpl w:val="007F3D5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7230C6A"/>
    <w:multiLevelType w:val="multilevel"/>
    <w:tmpl w:val="07230C6A"/>
    <w:lvl w:ilvl="0" w:tentative="0">
      <w:start w:val="1"/>
      <w:numFmt w:val="decimal"/>
      <w:lvlText w:val="1.%1"/>
      <w:lvlJc w:val="left"/>
      <w:pPr>
        <w:ind w:left="420" w:hanging="420"/>
      </w:pPr>
      <w:rPr>
        <w:rFonts w:hint="eastAsia" w:ascii="宋体" w:hAnsi="宋体" w:eastAsia="宋体"/>
      </w:rPr>
    </w:lvl>
    <w:lvl w:ilvl="1" w:tentative="0">
      <w:start w:val="1"/>
      <w:numFmt w:val="decimal"/>
      <w:lvlText w:val="1.%2"/>
      <w:lvlJc w:val="left"/>
      <w:pPr>
        <w:ind w:left="840" w:hanging="420"/>
      </w:pPr>
      <w:rPr>
        <w:rFonts w:hint="eastAsia"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5D46F1"/>
    <w:multiLevelType w:val="multilevel"/>
    <w:tmpl w:val="0A5D46F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A940E40"/>
    <w:multiLevelType w:val="multilevel"/>
    <w:tmpl w:val="0A940E40"/>
    <w:lvl w:ilvl="0" w:tentative="0">
      <w:start w:val="1"/>
      <w:numFmt w:val="decimal"/>
      <w:lvlText w:val="3.%1"/>
      <w:lvlJc w:val="left"/>
      <w:pPr>
        <w:ind w:left="703" w:hanging="420"/>
      </w:pPr>
      <w:rPr>
        <w:rFonts w:hint="eastAsia" w:ascii="宋体" w:hAnsi="宋体" w:eastAsia="宋体"/>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5">
    <w:nsid w:val="46532872"/>
    <w:multiLevelType w:val="multilevel"/>
    <w:tmpl w:val="46532872"/>
    <w:lvl w:ilvl="0" w:tentative="0">
      <w:start w:val="1"/>
      <w:numFmt w:val="decimal"/>
      <w:lvlText w:val="5.%1"/>
      <w:lvlJc w:val="left"/>
      <w:pPr>
        <w:ind w:left="703" w:hanging="420"/>
      </w:pPr>
      <w:rPr>
        <w:rFonts w:hint="eastAsia" w:ascii="宋体" w:hAnsi="宋体" w:eastAsia="宋体"/>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6">
    <w:nsid w:val="4BE900A3"/>
    <w:multiLevelType w:val="multilevel"/>
    <w:tmpl w:val="4BE900A3"/>
    <w:lvl w:ilvl="0" w:tentative="0">
      <w:start w:val="1"/>
      <w:numFmt w:val="decimal"/>
      <w:lvlText w:val="%1、"/>
      <w:lvlJc w:val="left"/>
      <w:pPr>
        <w:ind w:left="420" w:hanging="420"/>
      </w:pPr>
      <w:rPr>
        <w:rFonts w:hint="eastAsia"/>
      </w:rPr>
    </w:lvl>
    <w:lvl w:ilvl="1" w:tentative="0">
      <w:start w:val="1"/>
      <w:numFmt w:val="decimal"/>
      <w:lvlText w:val="%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0FA3BF8"/>
    <w:multiLevelType w:val="multilevel"/>
    <w:tmpl w:val="50FA3BF8"/>
    <w:lvl w:ilvl="0" w:tentative="0">
      <w:start w:val="1"/>
      <w:numFmt w:val="decimal"/>
      <w:lvlText w:val="2.%1"/>
      <w:lvlJc w:val="left"/>
      <w:pPr>
        <w:ind w:left="703" w:hanging="420"/>
      </w:pPr>
      <w:rPr>
        <w:rFonts w:hint="eastAsia"/>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8">
    <w:nsid w:val="543E4B78"/>
    <w:multiLevelType w:val="multilevel"/>
    <w:tmpl w:val="543E4B78"/>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9">
    <w:nsid w:val="543E4B83"/>
    <w:multiLevelType w:val="multilevel"/>
    <w:tmpl w:val="543E4B83"/>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10">
    <w:nsid w:val="56A70EFF"/>
    <w:multiLevelType w:val="multilevel"/>
    <w:tmpl w:val="56A70EFF"/>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7A00A7B"/>
    <w:multiLevelType w:val="multilevel"/>
    <w:tmpl w:val="77A00A7B"/>
    <w:lvl w:ilvl="0" w:tentative="0">
      <w:start w:val="1"/>
      <w:numFmt w:val="decimal"/>
      <w:lvlText w:val="6.%1"/>
      <w:lvlJc w:val="left"/>
      <w:pPr>
        <w:ind w:left="703" w:hanging="420"/>
      </w:pPr>
      <w:rPr>
        <w:rFonts w:hint="eastAsia" w:ascii="宋体" w:hAnsi="宋体" w:eastAsia="宋体"/>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abstractNum w:abstractNumId="12">
    <w:nsid w:val="7E624553"/>
    <w:multiLevelType w:val="multilevel"/>
    <w:tmpl w:val="7E624553"/>
    <w:lvl w:ilvl="0" w:tentative="0">
      <w:start w:val="1"/>
      <w:numFmt w:val="decimal"/>
      <w:lvlText w:val="4.%1"/>
      <w:lvlJc w:val="left"/>
      <w:pPr>
        <w:ind w:left="703" w:hanging="420"/>
      </w:pPr>
      <w:rPr>
        <w:rFonts w:hint="eastAsia" w:ascii="宋体" w:hAnsi="宋体" w:eastAsia="宋体"/>
      </w:rPr>
    </w:lvl>
    <w:lvl w:ilvl="1" w:tentative="0">
      <w:start w:val="1"/>
      <w:numFmt w:val="lowerLetter"/>
      <w:lvlText w:val="%2)"/>
      <w:lvlJc w:val="left"/>
      <w:pPr>
        <w:ind w:left="1123" w:hanging="420"/>
      </w:pPr>
    </w:lvl>
    <w:lvl w:ilvl="2" w:tentative="0">
      <w:start w:val="1"/>
      <w:numFmt w:val="lowerRoman"/>
      <w:lvlText w:val="%3."/>
      <w:lvlJc w:val="right"/>
      <w:pPr>
        <w:ind w:left="1543" w:hanging="420"/>
      </w:pPr>
    </w:lvl>
    <w:lvl w:ilvl="3" w:tentative="0">
      <w:start w:val="1"/>
      <w:numFmt w:val="decimal"/>
      <w:lvlText w:val="%4."/>
      <w:lvlJc w:val="left"/>
      <w:pPr>
        <w:ind w:left="1963" w:hanging="420"/>
      </w:pPr>
    </w:lvl>
    <w:lvl w:ilvl="4" w:tentative="0">
      <w:start w:val="1"/>
      <w:numFmt w:val="lowerLetter"/>
      <w:lvlText w:val="%5)"/>
      <w:lvlJc w:val="left"/>
      <w:pPr>
        <w:ind w:left="2383" w:hanging="420"/>
      </w:pPr>
    </w:lvl>
    <w:lvl w:ilvl="5" w:tentative="0">
      <w:start w:val="1"/>
      <w:numFmt w:val="lowerRoman"/>
      <w:lvlText w:val="%6."/>
      <w:lvlJc w:val="right"/>
      <w:pPr>
        <w:ind w:left="2803" w:hanging="420"/>
      </w:pPr>
    </w:lvl>
    <w:lvl w:ilvl="6" w:tentative="0">
      <w:start w:val="1"/>
      <w:numFmt w:val="decimal"/>
      <w:lvlText w:val="%7."/>
      <w:lvlJc w:val="left"/>
      <w:pPr>
        <w:ind w:left="3223" w:hanging="420"/>
      </w:pPr>
    </w:lvl>
    <w:lvl w:ilvl="7" w:tentative="0">
      <w:start w:val="1"/>
      <w:numFmt w:val="lowerLetter"/>
      <w:lvlText w:val="%8)"/>
      <w:lvlJc w:val="left"/>
      <w:pPr>
        <w:ind w:left="3643" w:hanging="420"/>
      </w:pPr>
    </w:lvl>
    <w:lvl w:ilvl="8" w:tentative="0">
      <w:start w:val="1"/>
      <w:numFmt w:val="lowerRoman"/>
      <w:lvlText w:val="%9."/>
      <w:lvlJc w:val="right"/>
      <w:pPr>
        <w:ind w:left="4063" w:hanging="420"/>
      </w:pPr>
    </w:lvl>
  </w:abstractNum>
  <w:num w:numId="1">
    <w:abstractNumId w:val="0"/>
  </w:num>
  <w:num w:numId="2">
    <w:abstractNumId w:val="8"/>
    <w:lvlOverride w:ilvl="0">
      <w:startOverride w:val="1"/>
    </w:lvlOverride>
  </w:num>
  <w:num w:numId="3">
    <w:abstractNumId w:val="9"/>
    <w:lvlOverride w:ilvl="0">
      <w:startOverride w:val="1"/>
    </w:lvlOverride>
  </w:num>
  <w:num w:numId="4">
    <w:abstractNumId w:val="9"/>
    <w:lvlOverride w:ilvl="0">
      <w:startOverride w:val="1"/>
    </w:lvlOverride>
  </w:num>
  <w:num w:numId="5">
    <w:abstractNumId w:val="10"/>
  </w:num>
  <w:num w:numId="6">
    <w:abstractNumId w:val="1"/>
  </w:num>
  <w:num w:numId="7">
    <w:abstractNumId w:val="3"/>
  </w:num>
  <w:num w:numId="8">
    <w:abstractNumId w:val="2"/>
  </w:num>
  <w:num w:numId="9">
    <w:abstractNumId w:val="7"/>
  </w:num>
  <w:num w:numId="10">
    <w:abstractNumId w:val="4"/>
  </w:num>
  <w:num w:numId="11">
    <w:abstractNumId w:val="12"/>
  </w:num>
  <w:num w:numId="12">
    <w:abstractNumId w:val="5"/>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OWY0MWJjMWZlMDU0YzA1ZDBhMzg2MDE5MDZmYTgifQ=="/>
  </w:docVars>
  <w:rsids>
    <w:rsidRoot w:val="71E70400"/>
    <w:rsid w:val="09CE70BE"/>
    <w:rsid w:val="13B178E3"/>
    <w:rsid w:val="16645B05"/>
    <w:rsid w:val="2DD173F4"/>
    <w:rsid w:val="413A4D55"/>
    <w:rsid w:val="474658C3"/>
    <w:rsid w:val="4CD20846"/>
    <w:rsid w:val="71E70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numPr>
        <w:ilvl w:val="0"/>
        <w:numId w:val="1"/>
      </w:numPr>
      <w:spacing w:line="413" w:lineRule="auto"/>
      <w:ind w:left="426"/>
      <w:jc w:val="center"/>
      <w:outlineLvl w:val="1"/>
    </w:pPr>
    <w:rPr>
      <w:rFonts w:ascii="宋体" w:hAnsi="宋体"/>
      <w:b/>
      <w:color w:val="000000"/>
      <w:sz w:val="2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customStyle="1" w:styleId="6">
    <w:name w:val="p0"/>
    <w:basedOn w:val="1"/>
    <w:qFormat/>
    <w:uiPriority w:val="0"/>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1840</Words>
  <Characters>2044</Characters>
  <Lines>0</Lines>
  <Paragraphs>0</Paragraphs>
  <TotalTime>0</TotalTime>
  <ScaleCrop>false</ScaleCrop>
  <LinksUpToDate>false</LinksUpToDate>
  <CharactersWithSpaces>2053</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2022-10-17T02:13:00Z</dcterms:created>
  <dc:creator>大德</dc:creator>
  <cp:lastModifiedBy>A0小念念</cp:lastModifiedBy>
  <dcterms:modified xsi:type="dcterms:W3CDTF">2023-06-05T10:19:55Z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AABB9B3747234360B587AA5900E47CFC</vt:lpwstr>
  </property>
</Properties>
</file>