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ind w:firstLine="1285" w:firstLineChars="400"/>
        <w:jc w:val="both"/>
        <w:rPr>
          <w:rFonts w:hint="eastAsia" w:ascii="黑体" w:hAnsi="黑体" w:eastAsia="黑体" w:cs="黑体"/>
          <w:kern w:val="0"/>
        </w:rPr>
      </w:pPr>
      <w:r>
        <w:rPr>
          <w:rFonts w:hint="eastAsia" w:ascii="黑体" w:hAnsi="黑体" w:eastAsia="黑体" w:cs="黑体"/>
          <w:kern w:val="0"/>
        </w:rPr>
        <w:t>口腔</w:t>
      </w:r>
      <w:r>
        <w:rPr>
          <w:rFonts w:hint="eastAsia" w:ascii="黑体" w:hAnsi="黑体" w:eastAsia="黑体" w:cs="黑体"/>
          <w:kern w:val="0"/>
          <w:lang w:eastAsia="zh-CN"/>
        </w:rPr>
        <w:t>30-40台牙科椅</w:t>
      </w:r>
      <w:r>
        <w:rPr>
          <w:rFonts w:hint="eastAsia" w:ascii="黑体" w:hAnsi="黑体" w:eastAsia="黑体" w:cs="黑体"/>
          <w:kern w:val="0"/>
        </w:rPr>
        <w:t>500L/H</w:t>
      </w:r>
    </w:p>
    <w:p>
      <w:pPr>
        <w:pStyle w:val="5"/>
        <w:ind w:firstLine="1285" w:firstLineChars="400"/>
        <w:jc w:val="both"/>
        <w:rPr>
          <w:rFonts w:ascii="黑体" w:hAnsi="黑体" w:eastAsia="黑体" w:cs="黑体"/>
          <w:kern w:val="0"/>
        </w:rPr>
      </w:pPr>
      <w:r>
        <w:rPr>
          <w:rFonts w:hint="eastAsia" w:ascii="黑体" w:hAnsi="黑体" w:eastAsia="黑体" w:cs="黑体"/>
          <w:kern w:val="0"/>
        </w:rPr>
        <w:t>项目实施方案关键技术参数</w:t>
      </w:r>
      <w:bookmarkStart w:id="0" w:name="_GoBack"/>
      <w:bookmarkEnd w:id="0"/>
    </w:p>
    <w:p>
      <w:pPr>
        <w:pStyle w:val="5"/>
        <w:jc w:val="both"/>
        <w:rPr>
          <w:rFonts w:ascii="黑体" w:hAnsi="黑体" w:eastAsia="黑体" w:cs="黑体"/>
          <w:kern w:val="0"/>
          <w:sz w:val="24"/>
        </w:rPr>
      </w:pPr>
      <w:r>
        <w:rPr>
          <w:rFonts w:hint="eastAsia" w:ascii="黑体" w:hAnsi="黑体" w:eastAsia="黑体" w:cs="黑体"/>
          <w:kern w:val="0"/>
          <w:sz w:val="24"/>
        </w:rPr>
        <w:t>1）.</w:t>
      </w:r>
      <w:r>
        <w:rPr>
          <w:rFonts w:hint="eastAsia" w:ascii="宋体" w:hAnsi="宋体" w:cs="宋体"/>
          <w:sz w:val="24"/>
          <w:szCs w:val="24"/>
        </w:rPr>
        <w:t xml:space="preserve"> </w:t>
      </w:r>
      <w:r>
        <w:rPr>
          <w:rFonts w:hint="eastAsia" w:ascii="黑体" w:hAnsi="黑体" w:eastAsia="黑体" w:cs="黑体"/>
          <w:kern w:val="0"/>
          <w:sz w:val="24"/>
        </w:rPr>
        <w:t>设备具体配置模块</w:t>
      </w:r>
      <w:r>
        <w:rPr>
          <w:rFonts w:hint="eastAsia" w:ascii="黑体" w:hAnsi="黑体" w:eastAsia="黑体" w:cs="黑体"/>
          <w:kern w:val="0"/>
        </w:rPr>
        <w:t>：</w:t>
      </w:r>
      <w:r>
        <w:rPr>
          <w:rFonts w:hint="eastAsia" w:ascii="宋体" w:hAnsi="宋体" w:cs="宋体"/>
          <w:kern w:val="0"/>
          <w:sz w:val="24"/>
          <w:szCs w:val="24"/>
        </w:rPr>
        <w:tab/>
      </w:r>
    </w:p>
    <w:p>
      <w:pPr>
        <w:widowControl/>
        <w:spacing w:line="276" w:lineRule="auto"/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1.</w:t>
      </w: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ab/>
      </w: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 xml:space="preserve"> 反渗透主机一套；（预处理单元。反渗透膜、增压泵、单片机显示屏、流量计等）</w:t>
      </w:r>
    </w:p>
    <w:p>
      <w:pPr>
        <w:widowControl/>
        <w:spacing w:line="276" w:lineRule="auto"/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2.   纯水储存输送装置一套；  (304无菌水箱、液位感应器，排水阀等）</w:t>
      </w:r>
    </w:p>
    <w:p>
      <w:pPr>
        <w:widowControl/>
        <w:spacing w:line="276" w:lineRule="auto"/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3.   全自动变频纯水加压系统一套；（增压泵、变频器、压力表等）</w:t>
      </w:r>
    </w:p>
    <w:p>
      <w:pPr>
        <w:widowControl/>
        <w:spacing w:line="276" w:lineRule="auto"/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4.   臭氧杀菌系统一套；（臭氧杀菌器、细菌过滤器）</w:t>
      </w:r>
    </w:p>
    <w:p>
      <w:pPr>
        <w:pStyle w:val="2"/>
      </w:pPr>
    </w:p>
    <w:p>
      <w:pPr>
        <w:widowControl/>
        <w:spacing w:line="276" w:lineRule="auto"/>
        <w:rPr>
          <w:rFonts w:ascii="黑体" w:hAnsi="黑体" w:eastAsia="黑体" w:cs="黑体"/>
          <w:b/>
          <w:bCs/>
          <w:kern w:val="0"/>
          <w:sz w:val="24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4"/>
          <w:szCs w:val="32"/>
        </w:rPr>
        <w:t>2).</w:t>
      </w:r>
      <w:r>
        <w:rPr>
          <w:rFonts w:hint="eastAsia" w:ascii="黑体" w:hAnsi="黑体" w:eastAsia="黑体" w:cs="黑体"/>
          <w:kern w:val="0"/>
          <w:sz w:val="24"/>
          <w:szCs w:val="32"/>
        </w:rPr>
        <w:t xml:space="preserve"> </w:t>
      </w:r>
      <w:r>
        <w:rPr>
          <w:rFonts w:hint="eastAsia" w:ascii="黑体" w:hAnsi="黑体" w:eastAsia="黑体" w:cs="黑体"/>
          <w:b/>
          <w:bCs/>
          <w:kern w:val="0"/>
          <w:sz w:val="24"/>
          <w:szCs w:val="32"/>
        </w:rPr>
        <w:t>设备性能关键配置</w:t>
      </w:r>
      <w:r>
        <w:rPr>
          <w:rFonts w:hint="eastAsia" w:ascii="黑体" w:hAnsi="黑体" w:eastAsia="黑体" w:cs="黑体"/>
          <w:kern w:val="0"/>
          <w:szCs w:val="32"/>
        </w:rPr>
        <w:t>：</w:t>
      </w:r>
    </w:p>
    <w:p>
      <w:pPr>
        <w:numPr>
          <w:ilvl w:val="0"/>
          <w:numId w:val="1"/>
        </w:numPr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工艺流程：采用“预处理+反渗透+纯水恒压供水”工艺；</w:t>
      </w:r>
    </w:p>
    <w:p>
      <w:pPr>
        <w:numPr>
          <w:ilvl w:val="0"/>
          <w:numId w:val="1"/>
        </w:numPr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整个设备系统全自动控制，自动产水供水和停机设备运行无需专人看管系统操作简单，使用方便。具备开机自检、缺水保护报警、停电自动复位、水箱满水后自动停机、高水压、过载保护等功能。RO膜自动冲洗，水质在线监测系统，可即时测量产水水质；</w:t>
      </w:r>
    </w:p>
    <w:p>
      <w:pPr>
        <w:numPr>
          <w:ilvl w:val="0"/>
          <w:numId w:val="1"/>
        </w:numPr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产水量：≥500 L/h。占地面≤2㎡；</w:t>
      </w:r>
    </w:p>
    <w:p>
      <w:pPr>
        <w:numPr>
          <w:ilvl w:val="0"/>
          <w:numId w:val="1"/>
        </w:numPr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自动功能：整个系统全过程微电脑控制，整个控制系统具备自动功能（自动制水、自动冲洗、原水缺水/水箱满水自动停机等），系统相关设备受液位联锁控制自动运行方式：“水箱液位+压力+流量”联锁控制自动运行，各元件的运行情况更直观，便于监测和维护；</w:t>
      </w:r>
    </w:p>
    <w:p>
      <w:pPr>
        <w:numPr>
          <w:ilvl w:val="0"/>
          <w:numId w:val="1"/>
        </w:numPr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设备配件说明：</w:t>
      </w:r>
    </w:p>
    <w:p>
      <w:pPr>
        <w:ind w:left="425"/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 xml:space="preserve">  </w:t>
      </w: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drawing>
          <wp:inline distT="0" distB="0" distL="0" distR="0">
            <wp:extent cx="2009775" cy="2819400"/>
            <wp:effectExtent l="19050" t="19050" r="28575" b="190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2822" cy="2823674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 xml:space="preserve">  </w:t>
      </w: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drawing>
          <wp:inline distT="0" distB="0" distL="0" distR="0">
            <wp:extent cx="1963420" cy="2815590"/>
            <wp:effectExtent l="19050" t="19050" r="17780" b="2286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1751" cy="2813712"/>
                    </a:xfrm>
                    <a:prstGeom prst="rect">
                      <a:avLst/>
                    </a:prstGeom>
                    <a:ln w="12700"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ind w:left="425"/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采用品牌泵，使设备运行稳定持久；机系统管件采用卫生级UPVC，为了采用节省使用空间和美观；</w:t>
      </w:r>
    </w:p>
    <w:p>
      <w:pPr>
        <w:ind w:left="425"/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纯水水箱：采用304不锈钢无菌水箱，储水量≥500L,用于储备反渗透产水</w:t>
      </w:r>
    </w:p>
    <w:p>
      <w:pPr>
        <w:ind w:left="425"/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水箱装有液位控制器，通过液位控制器实现反渗透装置和纯水外输送泵的起停。</w:t>
      </w:r>
    </w:p>
    <w:p>
      <w:pPr>
        <w:ind w:left="425"/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反渗透系统采用品牌反渗透膜元件，4040膜2支，保障水量500L/H，脱盐率≥97%细菌去除率：≥99%；</w:t>
      </w:r>
    </w:p>
    <w:p>
      <w:pPr>
        <w:numPr>
          <w:ilvl w:val="0"/>
          <w:numId w:val="1"/>
        </w:numPr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纯水供水采用恒定变频压力输出方式，管网压力稳定，无波动，无水锤现象，有效保证管网稳定，增加管网使用寿命，节能减排；</w:t>
      </w:r>
    </w:p>
    <w:p>
      <w:pPr>
        <w:numPr>
          <w:ilvl w:val="0"/>
          <w:numId w:val="1"/>
        </w:numPr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产水设有流量计，以监视并调节运行出水量及系统水利用率，通过合理工艺设计，水利用率高；</w:t>
      </w:r>
    </w:p>
    <w:p>
      <w:pPr>
        <w:pStyle w:val="2"/>
      </w:pPr>
    </w:p>
    <w:p>
      <w:pPr>
        <w:widowControl/>
        <w:spacing w:line="276" w:lineRule="auto"/>
        <w:rPr>
          <w:rFonts w:ascii="黑体" w:hAnsi="黑体" w:eastAsia="黑体" w:cs="黑体"/>
          <w:b/>
          <w:bCs/>
          <w:kern w:val="0"/>
          <w:sz w:val="24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4"/>
          <w:szCs w:val="32"/>
        </w:rPr>
        <w:t>3).人员配置需求</w:t>
      </w:r>
      <w:r>
        <w:rPr>
          <w:rFonts w:hint="eastAsia" w:ascii="黑体" w:hAnsi="黑体" w:eastAsia="黑体" w:cs="黑体"/>
          <w:kern w:val="0"/>
          <w:szCs w:val="32"/>
        </w:rPr>
        <w:t>：</w:t>
      </w:r>
    </w:p>
    <w:p>
      <w:pPr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/>
          <w:b/>
          <w:sz w:val="21"/>
        </w:rPr>
        <w:t>1.</w:t>
      </w: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现场无需专人看管，系统全自动运行；</w:t>
      </w:r>
    </w:p>
    <w:p>
      <w:pPr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2. 售后服务：日常使用过程中出现的设备质量投诉做出快速反应最迟不超过1小时。</w:t>
      </w:r>
    </w:p>
    <w:p>
      <w:pPr>
        <w:rPr>
          <w:rFonts w:ascii="黑体" w:hAnsi="黑体" w:eastAsia="黑体" w:cs="黑体"/>
          <w:b/>
          <w:bCs/>
          <w:kern w:val="0"/>
          <w:sz w:val="21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21"/>
          <w:szCs w:val="32"/>
        </w:rPr>
        <w:t>在1小时内与客户取得联系2小时给出解决问题的方案，并在24小时内到达现场进行维修排徐故障。提供6个月一次的回访服务；</w:t>
      </w:r>
    </w:p>
    <w:p>
      <w:pPr>
        <w:pStyle w:val="2"/>
        <w:ind w:firstLine="0"/>
      </w:pPr>
    </w:p>
    <w:p>
      <w:pPr>
        <w:pStyle w:val="2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Wingdings"/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黑体">
    <w:altName w:val="黑体"/>
    <w:panose1 w:val="02010609060101010101"/>
    <w:charset w:val="00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ymbol">
    <w:altName w:val="Symbol"/>
    <w:panose1 w:val="05050102010706020507"/>
    <w:charset w:val="00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default"/>
    <w:sig w:usb0="00000000" w:usb1="00000000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2552A2"/>
    <w:multiLevelType w:val="singleLevel"/>
    <w:tmpl w:val="592552A2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"/>
  </w:docVar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7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spacing w:after="120" w:line="240" w:lineRule="auto"/>
      <w:ind w:firstLine="420"/>
      <w:jc w:val="both"/>
    </w:pPr>
    <w:rPr>
      <w:rFonts w:ascii="Times New Roman" w:eastAsia="宋体"/>
      <w:sz w:val="21"/>
    </w:rPr>
  </w:style>
  <w:style w:type="paragraph" w:styleId="3">
    <w:name w:val="Body Text"/>
    <w:basedOn w:val="1"/>
    <w:qFormat/>
    <w:uiPriority w:val="0"/>
    <w:pPr>
      <w:spacing w:line="840" w:lineRule="exact"/>
      <w:jc w:val="center"/>
    </w:pPr>
    <w:rPr>
      <w:rFonts w:ascii="仿宋_GB2312" w:eastAsia="仿宋_GB2312"/>
      <w:sz w:val="88"/>
    </w:rPr>
  </w:style>
  <w:style w:type="paragraph" w:styleId="4">
    <w:name w:val="Balloon Text"/>
    <w:basedOn w:val="1"/>
    <w:link w:val="9"/>
    <w:qFormat/>
    <w:uiPriority w:val="0"/>
    <w:rPr>
      <w:sz w:val="18"/>
      <w:szCs w:val="18"/>
    </w:rPr>
  </w:style>
  <w:style w:type="paragraph" w:styleId="5">
    <w:name w:val="Title"/>
    <w:basedOn w:val="1"/>
    <w:next w:val="1"/>
    <w:link w:val="8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Cs w:val="32"/>
    </w:rPr>
  </w:style>
  <w:style w:type="character" w:customStyle="1" w:styleId="8">
    <w:name w:val="标题 Char"/>
    <w:basedOn w:val="6"/>
    <w:link w:val="5"/>
    <w:qFormat/>
    <w:uiPriority w:val="10"/>
    <w:rPr>
      <w:rFonts w:eastAsia="宋体" w:asciiTheme="majorHAnsi" w:hAnsiTheme="majorHAnsi" w:cstheme="majorBidi"/>
      <w:b/>
      <w:bCs/>
      <w:kern w:val="2"/>
      <w:sz w:val="32"/>
      <w:szCs w:val="32"/>
    </w:rPr>
  </w:style>
  <w:style w:type="character" w:customStyle="1" w:styleId="9">
    <w:name w:val="批注框文本 Char"/>
    <w:basedOn w:val="6"/>
    <w:link w:val="4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133</Words>
  <Characters>763</Characters>
  <Lines>6</Lines>
  <Paragraphs>1</Paragraphs>
  <TotalTime>0</TotalTime>
  <ScaleCrop>false</ScaleCrop>
  <LinksUpToDate>false</LinksUpToDate>
  <CharactersWithSpaces>895</CharactersWithSpaces>
  <Application>WPS Office_0.0.0.0_F1E327BC-269C-435d-A152-05C5408002CA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2023-04-11T21:14:00Z</dcterms:created>
  <dc:creator>Administrator</dc:creator>
  <cp:lastModifiedBy>iPhone2</cp:lastModifiedBy>
  <dcterms:modified xsi:type="dcterms:W3CDTF">2023-04-23T19:44:11Z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2052-10.12.1</vt:lpwstr>
  </property>
  <property fmtid="{D5CDD505-2E9C-101B-9397-08002B2CF9AE}" pid="3" name="ICV">
    <vt:lpwstr>22B37EF11D50400D9FEC9C189D83B4CA_11</vt:lpwstr>
  </property>
</Properties>
</file>