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391"/>
        <w:gridCol w:w="1625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9" w:type="dxa"/>
          </w:tcPr>
          <w:p>
            <w:pPr>
              <w:spacing w:line="480" w:lineRule="auto"/>
              <w:jc w:val="center"/>
              <w:rPr>
                <w:rFonts w:hint="eastAsia" w:eastAsia="等线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讨论人：</w:t>
            </w:r>
          </w:p>
        </w:tc>
        <w:tc>
          <w:tcPr>
            <w:tcW w:w="6703" w:type="dxa"/>
            <w:gridSpan w:val="3"/>
          </w:tcPr>
          <w:p>
            <w:pPr>
              <w:spacing w:line="480" w:lineRule="auto"/>
              <w:jc w:val="center"/>
              <w:rPr>
                <w:rFonts w:hint="eastAsia"/>
                <w:b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</w:tcPr>
          <w:p>
            <w:pPr>
              <w:spacing w:line="480" w:lineRule="auto"/>
              <w:jc w:val="center"/>
              <w:rPr>
                <w:rFonts w:hint="default" w:eastAsia="等线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编制人：</w:t>
            </w:r>
          </w:p>
        </w:tc>
        <w:tc>
          <w:tcPr>
            <w:tcW w:w="6703" w:type="dxa"/>
            <w:gridSpan w:val="3"/>
          </w:tcPr>
          <w:p>
            <w:pPr>
              <w:spacing w:line="480" w:lineRule="auto"/>
              <w:jc w:val="center"/>
              <w:rPr>
                <w:rFonts w:hint="eastAsia"/>
                <w:b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</w:tcPr>
          <w:p>
            <w:pPr>
              <w:spacing w:line="480" w:lineRule="auto"/>
              <w:jc w:val="center"/>
              <w:rPr>
                <w:rFonts w:hint="default" w:eastAsia="等线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审核人：</w:t>
            </w:r>
          </w:p>
        </w:tc>
        <w:tc>
          <w:tcPr>
            <w:tcW w:w="2391" w:type="dxa"/>
          </w:tcPr>
          <w:p>
            <w:pPr>
              <w:spacing w:line="480" w:lineRule="auto"/>
              <w:jc w:val="center"/>
              <w:rPr>
                <w:rFonts w:hint="eastAsia"/>
                <w:b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25" w:type="dxa"/>
          </w:tcPr>
          <w:p>
            <w:pPr>
              <w:spacing w:line="480" w:lineRule="auto"/>
              <w:jc w:val="center"/>
              <w:rPr>
                <w:rFonts w:hint="default" w:eastAsia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科室负责人</w:t>
            </w:r>
          </w:p>
        </w:tc>
        <w:tc>
          <w:tcPr>
            <w:tcW w:w="2687" w:type="dxa"/>
          </w:tcPr>
          <w:p>
            <w:pPr>
              <w:spacing w:line="480" w:lineRule="auto"/>
              <w:jc w:val="center"/>
              <w:rPr>
                <w:rFonts w:hint="eastAsia"/>
                <w:b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spacing w:line="360" w:lineRule="auto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技术参数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</w:t>
      </w:r>
      <w:r>
        <w:rPr>
          <w:rFonts w:hint="eastAsia"/>
          <w:b/>
          <w:sz w:val="30"/>
          <w:szCs w:val="30"/>
          <w:lang w:eastAsia="zh-CN"/>
        </w:rPr>
        <w:t>、</w:t>
      </w:r>
      <w:r>
        <w:rPr>
          <w:rFonts w:hint="eastAsia"/>
          <w:b/>
          <w:sz w:val="30"/>
          <w:szCs w:val="30"/>
        </w:rPr>
        <w:t>需求概述</w:t>
      </w:r>
    </w:p>
    <w:p>
      <w:pPr>
        <w:widowControl/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随着现代化医院的迅速发展和不断进步，医院信息化建设越来越显现出其重要作用和发展趋势。医院病房中的患者与医护人员的交互，需要借助技术手段进行升级。使护理日常工作和管理方面得到更智能、更全面、更人性化的支持。将传统呼叫的内涵，延伸到信息发布、行为管理、数据统计分析等新版块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系统宜采用高度贴合医院安全理念的各类技术。</w:t>
      </w:r>
      <w:r>
        <w:rPr>
          <w:rFonts w:hint="eastAsia" w:ascii="宋体" w:hAnsi="宋体"/>
          <w:b w:val="0"/>
          <w:bCs/>
          <w:sz w:val="24"/>
          <w:szCs w:val="24"/>
        </w:rPr>
        <w:t>应建设自组专网的独立网络，并具备与医院局域网对接的接口。应以符合行业信息科主流管理思想的的B/S</w:t>
      </w:r>
      <w:r>
        <w:rPr>
          <w:rFonts w:hint="eastAsia" w:ascii="宋体" w:hAnsi="宋体"/>
          <w:bCs/>
          <w:sz w:val="24"/>
          <w:szCs w:val="24"/>
        </w:rPr>
        <w:t>软件架构搭建软件系统。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系统整体应规避诸多安全漏洞与干扰漏洞，应支持更优异的工程管理难度控制能力，支持多角色分层管理，强调工程成本、落地工期与维护投入的综合运营体验。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系统应由医护主机、管理主机、门口分机、床头分机（含呼叫开关）、卫生间分机、值班室分机、移动医护分机、走廊显示屏、病区门禁分机等部分组成，护士工作站可另设品牌台式电脑一台，品牌液晶电视一台。系统管理软件基于B/S体系结构和网络服务器环境，采用SQLSERVER进行数据库管理，分层化、多用户结构设计，能很好地与第三方产品集成，满足数字化医院软件管理要求。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二、基本功能概述</w:t>
      </w:r>
    </w:p>
    <w:p>
      <w:pPr>
        <w:spacing w:line="360" w:lineRule="auto"/>
        <w:jc w:val="left"/>
        <w:rPr>
          <w:rFonts w:ascii="宋体" w:hAnsi="宋体" w:eastAsia="宋体" w:cs="宋体"/>
          <w:b/>
          <w:bCs w:val="0"/>
          <w:sz w:val="24"/>
        </w:rPr>
      </w:pPr>
      <w:r>
        <w:rPr>
          <w:rFonts w:hint="eastAsia" w:ascii="宋体" w:hAnsi="宋体" w:eastAsia="宋体" w:cs="宋体"/>
          <w:b/>
          <w:bCs w:val="0"/>
          <w:sz w:val="24"/>
        </w:rPr>
        <w:t>（一）呼叫求助版块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1.呼叫对讲：患者可在床旁、厕所一键呼叫；床头、门口可支持增援呼叫，护士可在病区任意位置响应。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2.分机关联设定：支持自助设号，分机（包括卫生间分机）可以关联门口分机和房间号，分机呼叫时显示房间号，门口分机上的门灯对应提示。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3.广播宣教：护士可通过呼叫对讲系统，实现一对一、一对多的广播宣教。广播内容可预存于系统内，也可随时设定，并可按时或按需进行播放。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 终端支持护士定位、呼叫转移等功能，防止呼叫遗漏。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5. 屏幕亮度和通话音量可分时段自由设置。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6.支持扩展移动医护分机，可使护士随身佩带专用的无线终端，接收患者的呼叫信息并直接与患者双向语音对讲。 </w:t>
      </w:r>
    </w:p>
    <w:p>
      <w:pPr>
        <w:spacing w:line="360" w:lineRule="auto"/>
        <w:jc w:val="left"/>
        <w:rPr>
          <w:rFonts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（二）信息发布版块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1.可连接HIS系统，自动提取信息，借助床头分机、门口分机与走廊显示屏等终端进行发布，信息显示内容可根据临床需要进行修改。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2.床头：借助床头分机可准确显示患者基本信息、风险评估结果以及护理等级、饮食等内容</w:t>
      </w:r>
      <w:r>
        <w:rPr>
          <w:rFonts w:hint="eastAsia" w:ascii="宋体" w:hAnsi="宋体" w:eastAsia="宋体" w:cs="宋体"/>
          <w:bCs/>
          <w:sz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</w:rPr>
        <w:t>床头分机背光灯可自动或手动开关。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3.门口：借助门口分机准确显示病房号及床位信息，宜集成门灯，醒目提示呼叫发出或护士位置。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4.走廊：借助显示屏，呼叫时准确显示呼叫床位信息，可循环显示未处理信息；平时显示病区名称，时间和其他信息。</w:t>
      </w:r>
    </w:p>
    <w:p>
      <w:pPr>
        <w:spacing w:line="360" w:lineRule="auto"/>
        <w:jc w:val="left"/>
        <w:rPr>
          <w:rFonts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（三）数据同步及显示更新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1.医院HIS数据、病区呼叫数据可与服务器按信息科要求的频率进行自动同步。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2.床头分机、门口分机和走廊显示屏的显示信息，按照信息科要求进行自动更新。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3.</w:t>
      </w:r>
      <w:r>
        <w:rPr>
          <w:rFonts w:hint="eastAsia" w:ascii="宋体" w:hAnsi="宋体"/>
          <w:bCs/>
          <w:sz w:val="24"/>
          <w:szCs w:val="24"/>
        </w:rPr>
        <w:t>可支持对敏感信息进行必要的屏蔽或隐私处理。</w:t>
      </w:r>
    </w:p>
    <w:p>
      <w:pPr>
        <w:spacing w:line="360" w:lineRule="auto"/>
        <w:jc w:val="left"/>
        <w:rPr>
          <w:rFonts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（四）数据管理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1.应配置对讲系统数据库和管理系统，实现对全院病区医用对讲系统数据的集中存储。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2.应支持护理管理的多个管理模块，包含数据接口对接模块、信息公共发布模块、信息管理模块、统计分析模块、呼叫中心监控模块等。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3.维护升级过程须遵守机房管理规定和医院数据安全管理规定。</w:t>
      </w:r>
    </w:p>
    <w:p>
      <w:pPr>
        <w:spacing w:line="360" w:lineRule="auto"/>
        <w:jc w:val="left"/>
        <w:rPr>
          <w:rFonts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（五）网络与运维管理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1.护理相关数据通过医疗网有线传输，自组专网。接入医疗网的终端须接受统一管理。每个病区，医院提供的网口不超过</w:t>
      </w:r>
      <w:r>
        <w:rPr>
          <w:rFonts w:ascii="宋体" w:hAnsi="宋体"/>
          <w:bCs/>
          <w:sz w:val="24"/>
          <w:szCs w:val="24"/>
        </w:rPr>
        <w:t>3</w:t>
      </w:r>
      <w:r>
        <w:rPr>
          <w:rFonts w:hint="eastAsia" w:ascii="宋体" w:hAnsi="宋体"/>
          <w:bCs/>
          <w:sz w:val="24"/>
          <w:szCs w:val="24"/>
        </w:rPr>
        <w:t>个。其余所需网口，施工、成本、配件，均由投标方自行解决。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2.</w:t>
      </w:r>
      <w:r>
        <w:rPr>
          <w:rFonts w:hint="eastAsia" w:ascii="宋体" w:hAnsi="宋体"/>
          <w:bCs/>
          <w:sz w:val="24"/>
          <w:szCs w:val="24"/>
        </w:rPr>
        <w:t>各分机硬件终端组网应相对独立，床头分机、卫生间分机、门口分机组网互不依赖。以支持不同科室的特殊性方案定制。</w:t>
      </w:r>
      <w:r>
        <w:rPr>
          <w:rFonts w:ascii="宋体" w:hAnsi="宋体"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</w:rPr>
        <w:t>故障自检：系统具有总线短路报警，电流电压检测，巡检故障分机，系统工作日志， 异常分析记录等多种故障检测方法。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4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</w:rPr>
        <w:t>脱机操作：当计算机发生故障时，系统依旧可以实现呼叫、通话、报警、灯光指示等功能。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/>
          <w:bCs/>
          <w:sz w:val="24"/>
          <w:szCs w:val="24"/>
          <w:highlight w:val="none"/>
        </w:rPr>
        <w:t>.</w:t>
      </w:r>
      <w:r>
        <w:rPr>
          <w:rFonts w:hint="eastAsia" w:ascii="宋体" w:hAnsi="宋体"/>
          <w:bCs/>
          <w:sz w:val="24"/>
          <w:szCs w:val="24"/>
          <w:highlight w:val="none"/>
        </w:rPr>
        <w:t xml:space="preserve"> 自建无线网络不得依靠院内WIFI，不得干扰医疗仪器设备，不得传送HIS信息，只能用于对讲应答。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/>
          <w:bCs/>
          <w:sz w:val="24"/>
          <w:szCs w:val="24"/>
          <w:highlight w:val="none"/>
        </w:rPr>
        <w:t>无线设备不允许体现患者除床位外的基本信息</w:t>
      </w:r>
      <w:r>
        <w:rPr>
          <w:rFonts w:hint="eastAsia" w:ascii="宋体" w:hAnsi="宋体"/>
          <w:bCs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宋体" w:hAnsi="宋体"/>
          <w:bCs/>
          <w:sz w:val="24"/>
          <w:szCs w:val="24"/>
          <w:highlight w:val="none"/>
          <w:lang w:eastAsia="zh-CN"/>
        </w:rPr>
        <w:t>在断网情况下，床头分机、门口分机等设备依然能够呼叫主机并对讲，确保特殊情况下通讯功能不间断。</w:t>
      </w: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三、设备与模块参数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</w:pPr>
      <w:r>
        <w:rPr>
          <w:rFonts w:hint="eastAsia"/>
        </w:rPr>
        <w:t>IP网络医护主机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采用10.0英寸及以上，屏幕分辨率：1024*600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采用2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bCs/>
          <w:sz w:val="24"/>
          <w:szCs w:val="24"/>
        </w:rPr>
        <w:t>色及以上LED灯指示呼叫患者的护理级别。护理级别颜色可以系统配置。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可显示并语音播放呼叫病房号和病床号，播报次数可调，支持循环播报、间隔播报两种播报方式。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可向某一病人终端或值班终端发起语音呼叫，进行双向对讲操作。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支持独立广播功能，可通过屏幕选择任意床位进行话筒广播功能，方便进行各种宣教操作。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可显示床位一览表，并具有标准模式与精简模式两种显示模式。精简模式可以同时显示更多的床位数，而标准模式可以直观展现更多的信息内容。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支持呼叫对讲、呼叫显示、呼叫未处理提醒与一键清除等功能。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自动调节系统通话音量，提供4个时段，每个时间段时间灵活可调。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支持扩展门禁分机可视对讲功能，并可对门禁电磁锁开关进行控制，方便系统对病区门禁集中管理。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具有线路检测、故障报警、故障巡检、工作日志记录功能。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设备支持在线升级功能，可通过服务器进行程序升级。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eastAsia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提供信息化医护主机外观专利证书及所投型号软件著作权证书</w:t>
      </w:r>
      <w:r>
        <w:rPr>
          <w:rFonts w:hint="eastAsia"/>
          <w:b/>
          <w:bCs/>
          <w:sz w:val="24"/>
        </w:rPr>
        <w:t>并加盖制造商公章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rPr>
          <w:rFonts w:hint="eastAsia"/>
        </w:rPr>
      </w:pPr>
      <w:r>
        <w:rPr>
          <w:rFonts w:hint="eastAsia"/>
        </w:rPr>
        <w:t>信息交互管理主机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主机具有RJ45网络接口，通过标准TCP/IP协议与机房服务器进行数据通信，获取HIS系统中病房科室数据信息。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主机高带宽两线制总线接口，接口可连接床头分机、门口分机、卫生间分机等设备。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支持连接显示屏、点阵屏设备，进行显示呼叫信息及宣传用语的显示。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支持扩展医护主机、通用电话机、值班室分机等设备。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支持扩展门禁分机，系统集成病区门口门禁电磁锁控制功能。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支持扩展标准CAN、485通讯外设，提供RS232接口。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具有振铃输出接口，可用于系统振铃音频信号输出，用于外接功放。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主机内嵌WEB服务，具有网页登陆配置功能，方便安装时调试与配置。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具有防雷击、防浪涌、短路保护、接地保护、过载保护等多重保护电路系统。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hint="default" w:ascii="宋体" w:hAnsi="宋体" w:eastAsia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提供所投型号软件著作权证书及CCC认证证书</w:t>
      </w:r>
      <w:r>
        <w:rPr>
          <w:rFonts w:hint="eastAsia"/>
          <w:b/>
          <w:bCs/>
          <w:sz w:val="24"/>
        </w:rPr>
        <w:t>并加盖制造商公章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门口分机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采用10.0英寸及以上液晶屏，屏幕分辨率1024*600及以上。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采用</w:t>
      </w:r>
      <w:r>
        <w:rPr>
          <w:rFonts w:hint="default" w:ascii="宋体" w:hAnsi="宋体"/>
          <w:bCs/>
          <w:sz w:val="24"/>
          <w:szCs w:val="24"/>
          <w:lang w:val="en-US"/>
        </w:rPr>
        <w:t>10</w:t>
      </w:r>
      <w:r>
        <w:rPr>
          <w:rFonts w:hint="eastAsia" w:ascii="宋体" w:hAnsi="宋体"/>
          <w:bCs/>
          <w:sz w:val="24"/>
          <w:szCs w:val="24"/>
        </w:rPr>
        <w:t>色及以上门灯提示本房间的护理级别，呼叫时常亮，护士进入闪烁。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可显示病房号、床位号、患者名、责任护士、责任医生、医护照片、医院介绍、科室介绍等信息。支持通过护理键进行护士进入、护士离开操作。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支持护士定位，可提示和记录护士所在病房号。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支持智能门口刷卡，实现护士定位和记录。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根据系统设置的护理等级信息即患者护理级别，呼叫时门口分机灯显示相应颜色。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信息界面文字过多时支持滚动显示，可以实现大量文本上移或左移显示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展示界面可根据呼叫床位对相应的块闪烁显示，文字和背景可以指定显示颜色。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支持调整分机信息界面的样式和内容，可同时展示5张信息界面，可手动切换查看，支持设置正常待机默认界面。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分机设备程序、素材支持在线升级，可由系统后台统一进行功能升级。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提供门口分机外观专利证书及所投型号软件著作权证书</w:t>
      </w:r>
      <w:r>
        <w:rPr>
          <w:rFonts w:hint="eastAsia"/>
          <w:b/>
          <w:bCs/>
          <w:sz w:val="24"/>
        </w:rPr>
        <w:t>并加盖制造商公章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床头分机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采用</w:t>
      </w:r>
      <w:r>
        <w:rPr>
          <w:rFonts w:hint="eastAsia" w:ascii="宋体" w:hAnsi="宋体"/>
          <w:bCs/>
          <w:sz w:val="24"/>
          <w:szCs w:val="24"/>
        </w:rPr>
        <w:t>5英寸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及以上液晶屏</w:t>
      </w:r>
      <w:r>
        <w:rPr>
          <w:rFonts w:hint="eastAsia" w:ascii="宋体" w:hAnsi="宋体"/>
          <w:bCs/>
          <w:sz w:val="24"/>
          <w:szCs w:val="24"/>
        </w:rPr>
        <w:t>,屏幕分辨率800*480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屏幕亮屏时间可由系统后台统一设定，避免影响病患夜间休息，黑屏时可通过任意按键操作点亮屏幕。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可实现与护士站主机的双向呼叫及对讲。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支持护理呼叫、增援呼叫、呼叫清除等功能。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支持护士定位，可提示和记录护士所在病房号。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支持新短消息、呼叫存储等语音及弹窗提醒。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支持对病人姓名、年龄、护理等级、护理标识、科室介绍、医院介绍等信息的显示。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病人信息界面文字过多时可以滚动显示，可以实现大量文本上移或左移显示。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病人信息界面可根据文本内容提供块闪烁显示，文字和背景可以指定显示颜色。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病人信息界面支持同时展示多张图片,用来展示护士头像、护理标识等。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医护信息、服务信息：显示医护信息及照片，显示服务信息，最多可支持10万汉字的内容，支持快速翻页和查看。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医嘱信息、费用详情、患者用药明细：显示医嘱信息，显示患者费用详情，最多可支持5000条数据的展示，可实现快速翻页和查看。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可以同时展示5张病人信息界面，可手动切换查看，支持设置正常待机默认界面。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分机设备程序、素材支持在线升级，可由系统后台统一进行功能升级。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/>
          <w:b/>
          <w:bCs w:val="0"/>
          <w:color w:val="auto"/>
          <w:sz w:val="24"/>
          <w:szCs w:val="24"/>
          <w:lang w:val="en-US" w:eastAsia="zh-CN"/>
        </w:rPr>
        <w:t>提供床头分机外观专利证书及所投型号软件著作权证书</w:t>
      </w:r>
      <w:r>
        <w:rPr>
          <w:rFonts w:hint="eastAsia"/>
          <w:b/>
          <w:bCs/>
          <w:color w:val="auto"/>
          <w:sz w:val="24"/>
        </w:rPr>
        <w:t>并加盖制造商公章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卫生间分机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紧急情况的呼叫设计，优先级最高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呼叫时有明显的声光报警提示，并在病区中有广播提示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IP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68级及</w:t>
      </w:r>
      <w:r>
        <w:rPr>
          <w:rFonts w:hint="eastAsia" w:ascii="宋体" w:hAnsi="宋体"/>
          <w:bCs/>
          <w:sz w:val="24"/>
          <w:szCs w:val="24"/>
        </w:rPr>
        <w:t>以上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防护等级，防水、防尘工艺设计</w:t>
      </w:r>
      <w:r>
        <w:rPr>
          <w:rFonts w:hint="eastAsia" w:ascii="宋体" w:hAnsi="宋体"/>
          <w:bCs/>
          <w:sz w:val="24"/>
          <w:szCs w:val="24"/>
        </w:rPr>
        <w:t>，适合卫生间、淋浴间等潮湿环境使用。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有专用的取消按键</w:t>
      </w:r>
    </w:p>
    <w:p>
      <w:pPr>
        <w:numPr>
          <w:ilvl w:val="0"/>
          <w:numId w:val="6"/>
        </w:num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提供卫生间分机外观专利证书及所投型号软件著作权证书</w:t>
      </w:r>
      <w:r>
        <w:rPr>
          <w:rFonts w:hint="eastAsia" w:ascii="宋体" w:hAnsi="宋体"/>
          <w:b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提供卫生间防水防尘等级检测报告（测试报告需注明测试要求、判定依据、测试结果、结论）</w:t>
      </w:r>
      <w:r>
        <w:rPr>
          <w:rFonts w:hint="eastAsia"/>
          <w:b/>
          <w:bCs/>
          <w:sz w:val="24"/>
        </w:rPr>
        <w:t>并加盖制造商公章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走廊显示屏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双面Φ3.75点阵，可显示2行*8个汉字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呼叫时循环显示护理级别、病房号和床位号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 w:val="0"/>
          <w:bCs/>
          <w:sz w:val="24"/>
          <w:lang w:eastAsia="zh-CN"/>
        </w:rPr>
        <w:t>待机时滚动显示日期、时间、护士位置、温馨提示等信息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提供</w:t>
      </w:r>
      <w:r>
        <w:rPr>
          <w:rFonts w:hint="eastAsia"/>
          <w:b/>
          <w:bCs/>
          <w:sz w:val="24"/>
          <w:lang w:val="en-US" w:eastAsia="zh-CN"/>
        </w:rPr>
        <w:t>走廊显示屏软件著作权证书</w:t>
      </w:r>
      <w:r>
        <w:rPr>
          <w:rFonts w:hint="eastAsia"/>
          <w:b/>
          <w:bCs/>
          <w:sz w:val="24"/>
        </w:rPr>
        <w:t>复印件并加盖制造商公章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移动医护分机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以无线方式传输数据和语音，满足护士随身携带要求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长时间待机，满足一天以上护理使用要求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液晶屏显示多条呼叫信息，可直接接听对讲或清除处理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可随时呼叫护士站和分机，支持增援呼叫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提醒方式可设置为响铃、震动、静音，通话音量多级可调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提供40个以上通讯频道，每个频道支持多个无线终端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提供</w:t>
      </w:r>
      <w:r>
        <w:rPr>
          <w:rFonts w:hint="eastAsia"/>
          <w:b/>
          <w:bCs/>
          <w:sz w:val="24"/>
          <w:lang w:val="en-US" w:eastAsia="zh-CN"/>
        </w:rPr>
        <w:t>移动医护分机外观专利证书</w:t>
      </w:r>
      <w:r>
        <w:rPr>
          <w:rFonts w:hint="eastAsia"/>
          <w:b/>
          <w:bCs/>
          <w:sz w:val="24"/>
        </w:rPr>
        <w:t>所投型号</w:t>
      </w:r>
      <w:r>
        <w:rPr>
          <w:rFonts w:hint="eastAsia"/>
          <w:b/>
          <w:bCs/>
          <w:sz w:val="24"/>
          <w:lang w:val="en-US" w:eastAsia="zh-CN"/>
        </w:rPr>
        <w:t>软件著作权证书</w:t>
      </w:r>
      <w:r>
        <w:rPr>
          <w:rFonts w:hint="eastAsia"/>
          <w:b/>
          <w:bCs/>
          <w:sz w:val="24"/>
        </w:rPr>
        <w:t>复印件并加盖制造商公章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无线</w:t>
      </w:r>
      <w:r>
        <w:rPr>
          <w:rFonts w:hint="eastAsia"/>
          <w:b/>
          <w:sz w:val="30"/>
          <w:szCs w:val="30"/>
          <w:lang w:val="en-US" w:eastAsia="zh-CN"/>
        </w:rPr>
        <w:t>通讯</w:t>
      </w:r>
      <w:r>
        <w:rPr>
          <w:rFonts w:hint="eastAsia"/>
          <w:b/>
          <w:sz w:val="30"/>
          <w:szCs w:val="30"/>
        </w:rPr>
        <w:t>主机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自动组网,可通过内部总线级联使用,实现大面积无线覆盖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支持挂载多台移动医护分机、输液报警器等无线终端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支持双向无线数据传输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通过与呼叫系统主机通讯，实现联动呼叫对讲等功能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具有40个独立设定频道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提供</w:t>
      </w:r>
      <w:r>
        <w:rPr>
          <w:rFonts w:hint="eastAsia"/>
          <w:b/>
          <w:bCs/>
          <w:sz w:val="24"/>
          <w:lang w:val="en-US" w:eastAsia="zh-CN"/>
        </w:rPr>
        <w:t>无线通讯主机著作权证书</w:t>
      </w:r>
      <w:r>
        <w:rPr>
          <w:rFonts w:hint="eastAsia"/>
          <w:b/>
          <w:bCs/>
          <w:sz w:val="24"/>
        </w:rPr>
        <w:t>复印件并加盖制造商公章</w:t>
      </w: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护理通讯信息系统软件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护理通讯信息管理平台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基于B/S架构，支持床位和房间一览表管理与显示，支持住院人数、护理级别人数统计和关键字搜索，可完成入院登记、出院、换床、二维码扫描等日常业务。支持并发点位数≥200点位。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提供床头、门口、信息看板等图形用户界面的在线编辑工具，支持日常呼叫护理记录查询、导出，具有完善的医护人员排班、病区公告信息、护理标识预警颜色等管理功能。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呼叫数据统计分析平台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基于B/S架构，通过护士长或院领导账号可登录到系统WEB页面查看自己科室或全院的呼叫数据统计分析，如“房间对比图”、“呼叫日线图”、“分时曲线图”、“呼叫量对比图”、“呼叫响应对比图”、“入住统计图”等一系列图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护理信息公共发布平台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通过护士站液晶电视，可显示床位一览表和未处理的呼叫信息，也可显示护理工作一览表，包括病区当日患者流动、住院人数、病危病重、手术安排、值班医生、要事留言等信息。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5" w:leftChars="0" w:right="0" w:rightChars="0" w:hanging="425" w:firstLineChars="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数据接口服务器平台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支持与Oracle、SQLServer、Sybase、DB2、Cache等大型数据库和第三方数据接口对接，提供中间表、触发器、消息机制、WebService等多种连接方式。负责监听各护理单元工作状态，并提供多种调试和查询分析工具。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提供</w:t>
      </w:r>
      <w:r>
        <w:rPr>
          <w:rFonts w:hint="eastAsia"/>
          <w:b/>
          <w:bCs/>
          <w:sz w:val="24"/>
          <w:lang w:val="en-US" w:eastAsia="zh-CN"/>
        </w:rPr>
        <w:t>软件著作权证书</w:t>
      </w:r>
      <w:r>
        <w:rPr>
          <w:rFonts w:hint="eastAsia"/>
          <w:b/>
          <w:bCs/>
          <w:sz w:val="24"/>
        </w:rPr>
        <w:t>复印件并加盖制造商公章</w:t>
      </w:r>
    </w:p>
    <w:p>
      <w:pPr>
        <w:rPr>
          <w:rFonts w:hint="eastAsia"/>
          <w:b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0F2F3A"/>
    <w:multiLevelType w:val="singleLevel"/>
    <w:tmpl w:val="BA0F2F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C6A8826"/>
    <w:multiLevelType w:val="singleLevel"/>
    <w:tmpl w:val="BC6A88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0E15991"/>
    <w:multiLevelType w:val="singleLevel"/>
    <w:tmpl w:val="D0E1599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D6420289"/>
    <w:multiLevelType w:val="singleLevel"/>
    <w:tmpl w:val="D64202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ED427C5D"/>
    <w:multiLevelType w:val="singleLevel"/>
    <w:tmpl w:val="ED427C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F5828D5F"/>
    <w:multiLevelType w:val="singleLevel"/>
    <w:tmpl w:val="F5828D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349C8B5E"/>
    <w:multiLevelType w:val="singleLevel"/>
    <w:tmpl w:val="349C8B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637513A"/>
    <w:multiLevelType w:val="singleLevel"/>
    <w:tmpl w:val="463751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4AE403EA"/>
    <w:multiLevelType w:val="singleLevel"/>
    <w:tmpl w:val="4AE403E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721EE2E3"/>
    <w:multiLevelType w:val="singleLevel"/>
    <w:tmpl w:val="721EE2E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0MjU4YjU4ZWFiN2NmMmM0MjIzOWJkZWEwZTU4NGEifQ=="/>
  </w:docVars>
  <w:rsids>
    <w:rsidRoot w:val="00A57A36"/>
    <w:rsid w:val="00014D46"/>
    <w:rsid w:val="00067971"/>
    <w:rsid w:val="001F4D18"/>
    <w:rsid w:val="00262333"/>
    <w:rsid w:val="0029565F"/>
    <w:rsid w:val="00295E18"/>
    <w:rsid w:val="00370E83"/>
    <w:rsid w:val="003C4232"/>
    <w:rsid w:val="00401B6D"/>
    <w:rsid w:val="00483647"/>
    <w:rsid w:val="00485B70"/>
    <w:rsid w:val="00547F56"/>
    <w:rsid w:val="005B2CC7"/>
    <w:rsid w:val="005B4FC1"/>
    <w:rsid w:val="00650A58"/>
    <w:rsid w:val="006607BD"/>
    <w:rsid w:val="006D009C"/>
    <w:rsid w:val="00745F7D"/>
    <w:rsid w:val="00870AF1"/>
    <w:rsid w:val="00A4272E"/>
    <w:rsid w:val="00A57A36"/>
    <w:rsid w:val="00AA7FA5"/>
    <w:rsid w:val="00B276CA"/>
    <w:rsid w:val="00C63AAF"/>
    <w:rsid w:val="00D0784E"/>
    <w:rsid w:val="00D857D2"/>
    <w:rsid w:val="00D90623"/>
    <w:rsid w:val="00EA1DE7"/>
    <w:rsid w:val="00F30ED8"/>
    <w:rsid w:val="00F5796D"/>
    <w:rsid w:val="00FE15AA"/>
    <w:rsid w:val="06622973"/>
    <w:rsid w:val="07DB32A6"/>
    <w:rsid w:val="0A2C48E2"/>
    <w:rsid w:val="0AFD6C5F"/>
    <w:rsid w:val="0C937FFC"/>
    <w:rsid w:val="13A905DD"/>
    <w:rsid w:val="167F7E67"/>
    <w:rsid w:val="172E5A7C"/>
    <w:rsid w:val="193404E9"/>
    <w:rsid w:val="1A56754E"/>
    <w:rsid w:val="1AEB25A4"/>
    <w:rsid w:val="1C660349"/>
    <w:rsid w:val="1C8168B3"/>
    <w:rsid w:val="1E8E0B53"/>
    <w:rsid w:val="205160A7"/>
    <w:rsid w:val="21DA4B6F"/>
    <w:rsid w:val="234D6C35"/>
    <w:rsid w:val="250E0D35"/>
    <w:rsid w:val="25DB2EF9"/>
    <w:rsid w:val="27F94053"/>
    <w:rsid w:val="28566544"/>
    <w:rsid w:val="28A94293"/>
    <w:rsid w:val="2B3D1ECB"/>
    <w:rsid w:val="2E5365D0"/>
    <w:rsid w:val="2F0B1010"/>
    <w:rsid w:val="33A455DE"/>
    <w:rsid w:val="373B5AD4"/>
    <w:rsid w:val="373F6663"/>
    <w:rsid w:val="3B1C525D"/>
    <w:rsid w:val="3B3211C8"/>
    <w:rsid w:val="3BEC674C"/>
    <w:rsid w:val="3C2A5E12"/>
    <w:rsid w:val="3DF23C75"/>
    <w:rsid w:val="3ED66258"/>
    <w:rsid w:val="3EE64E43"/>
    <w:rsid w:val="40131745"/>
    <w:rsid w:val="40F05EA3"/>
    <w:rsid w:val="43F813AD"/>
    <w:rsid w:val="46327758"/>
    <w:rsid w:val="464A22FA"/>
    <w:rsid w:val="4A8B32F8"/>
    <w:rsid w:val="4AA75AA3"/>
    <w:rsid w:val="4B512762"/>
    <w:rsid w:val="4DA430D2"/>
    <w:rsid w:val="4ED4269D"/>
    <w:rsid w:val="530D4891"/>
    <w:rsid w:val="57A76F4B"/>
    <w:rsid w:val="59E10A04"/>
    <w:rsid w:val="5EB86D31"/>
    <w:rsid w:val="5EDB773E"/>
    <w:rsid w:val="64F43FF4"/>
    <w:rsid w:val="6EAB1353"/>
    <w:rsid w:val="6F6F755A"/>
    <w:rsid w:val="73AD2EED"/>
    <w:rsid w:val="7CF6706A"/>
    <w:rsid w:val="7D4A195F"/>
    <w:rsid w:val="7D5B7F40"/>
    <w:rsid w:val="7FD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jc w:val="center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tabs>
        <w:tab w:val="right" w:leader="dot" w:pos="9628"/>
      </w:tabs>
    </w:pPr>
    <w:rPr>
      <w:rFonts w:ascii="微软雅黑" w:hAnsi="微软雅黑" w:cs="微软雅黑"/>
      <w:color w:val="000000"/>
      <w:sz w:val="24"/>
      <w:szCs w:val="22"/>
    </w:rPr>
  </w:style>
  <w:style w:type="paragraph" w:styleId="9">
    <w:name w:val="Body Text Indent 3"/>
    <w:basedOn w:val="1"/>
    <w:qFormat/>
    <w:uiPriority w:val="0"/>
    <w:pPr>
      <w:spacing w:line="600" w:lineRule="exact"/>
      <w:ind w:firstLine="720" w:firstLineChars="225"/>
    </w:pPr>
    <w:rPr>
      <w:sz w:val="32"/>
      <w:szCs w:val="20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楷体_GB2312" w:cs="宋体"/>
      <w:color w:val="000000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标题 1 字符"/>
    <w:basedOn w:val="13"/>
    <w:link w:val="2"/>
    <w:qFormat/>
    <w:uiPriority w:val="9"/>
    <w:rPr>
      <w:rFonts w:eastAsia="宋体"/>
      <w:b/>
      <w:bCs/>
      <w:kern w:val="44"/>
      <w:sz w:val="28"/>
      <w:szCs w:val="44"/>
    </w:rPr>
  </w:style>
  <w:style w:type="character" w:customStyle="1" w:styleId="16">
    <w:name w:val="标题 2 字符"/>
    <w:basedOn w:val="13"/>
    <w:link w:val="3"/>
    <w:semiHidden/>
    <w:qFormat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paragraph" w:customStyle="1" w:styleId="17">
    <w:name w:val="Normal_1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脚 字符"/>
    <w:basedOn w:val="13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批注框文本 字符"/>
    <w:basedOn w:val="13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7CD5D3-58B0-482A-98A8-9F942FF4CD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7126</Words>
  <Characters>7559</Characters>
  <Lines>53</Lines>
  <Paragraphs>15</Paragraphs>
  <TotalTime>0</TotalTime>
  <ScaleCrop>false</ScaleCrop>
  <LinksUpToDate>false</LinksUpToDate>
  <CharactersWithSpaces>7591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2019-10-26T01:31:00Z</dcterms:created>
  <dc:creator>Admin</dc:creator>
  <cp:lastModifiedBy>A0小念念</cp:lastModifiedBy>
  <dcterms:modified xsi:type="dcterms:W3CDTF">2022-10-19T08:26:49Z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3292CECFBBFA48BCB42197B4DEF1B111</vt:lpwstr>
  </property>
</Properties>
</file>