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63B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海南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医科大学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第二附属医院</w:t>
      </w:r>
    </w:p>
    <w:p w14:paraId="4955FC6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胸痛中心信息化建设项目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需求书</w:t>
      </w:r>
    </w:p>
    <w:p w14:paraId="60482F85">
      <w:pPr>
        <w:pStyle w:val="5"/>
        <w:numPr>
          <w:ilvl w:val="1"/>
          <w:numId w:val="0"/>
        </w:numPr>
        <w:spacing w:before="156" w:after="156"/>
        <w:ind w:left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项目概述</w:t>
      </w:r>
    </w:p>
    <w:p w14:paraId="24BC8361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近年来，《公立医院高质量发展促进行动(2021—2025)》等各项国家政策均强调要加强信息化建设，进一步改善医疗服务。医院需完善急救网络，为患者提供一体化综合救治服务，推进医院信息化建设标准化，从而提高医疗服务的智慧化水平。智慧胸痛中心是深化胸痛中心体系建设的重要抓手，对于单家医院来说，信息化解决方案是进一步提升学科中心建设质量、优化救治流程、提高救治效率，改善数据填报、规范数据管理的有效工具。</w:t>
      </w:r>
    </w:p>
    <w:p w14:paraId="3BCFD27A">
      <w:pPr>
        <w:pStyle w:val="5"/>
        <w:numPr>
          <w:ilvl w:val="0"/>
          <w:numId w:val="0"/>
        </w:numPr>
        <w:spacing w:before="0"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建设目标</w:t>
      </w:r>
    </w:p>
    <w:p w14:paraId="0E367C0A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全程记录胸痛患者各个救治节点的时间、进程、位置，优化胸痛患者的全流程管理，拍照扫描身份信息，实现快速建档，实现时间管理记录表电子化，减少医护人员繁琐的手工书写、录入等工作，增加对每个患者的关注时间，实现病种、病因分析，精准定位单项指标未达标原因，加强救治过程中各个环节的时间把控与数据安全，改善医疗服务质量，实现区域协同救治与持续改进。</w:t>
      </w:r>
    </w:p>
    <w:p w14:paraId="2399359E">
      <w:pPr>
        <w:pStyle w:val="5"/>
        <w:numPr>
          <w:ilvl w:val="0"/>
          <w:numId w:val="0"/>
        </w:numPr>
        <w:spacing w:before="0"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建设内容</w:t>
      </w:r>
    </w:p>
    <w:p w14:paraId="33196287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zh-CN"/>
        </w:rPr>
        <w:t>本项目建设内容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包括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软件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的供货、安装、调试、运行、维护、技术支持及售后服务等，建设内容清单如下：</w:t>
      </w:r>
    </w:p>
    <w:tbl>
      <w:tblPr>
        <w:tblStyle w:val="16"/>
        <w:tblW w:w="854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250"/>
        <w:gridCol w:w="2250"/>
        <w:gridCol w:w="2031"/>
      </w:tblGrid>
      <w:tr w14:paraId="646A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0" w:type="dxa"/>
            <w:gridSpan w:val="4"/>
            <w:noWrap/>
          </w:tcPr>
          <w:p w14:paraId="431B006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软件部分：</w:t>
            </w:r>
          </w:p>
        </w:tc>
      </w:tr>
      <w:tr w14:paraId="2B9A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09" w:type="dxa"/>
            <w:noWrap/>
          </w:tcPr>
          <w:p w14:paraId="32BCE068"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2250" w:type="dxa"/>
            <w:noWrap/>
          </w:tcPr>
          <w:p w14:paraId="4F99ED3B">
            <w:pP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数量</w:t>
            </w:r>
          </w:p>
        </w:tc>
        <w:tc>
          <w:tcPr>
            <w:tcW w:w="2250" w:type="dxa"/>
            <w:noWrap/>
          </w:tcPr>
          <w:p w14:paraId="576E8CC7">
            <w:pP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031" w:type="dxa"/>
            <w:noWrap/>
          </w:tcPr>
          <w:p w14:paraId="052209F9">
            <w:pP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备注</w:t>
            </w:r>
          </w:p>
        </w:tc>
      </w:tr>
      <w:tr w14:paraId="66A6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09" w:type="dxa"/>
            <w:noWrap/>
          </w:tcPr>
          <w:p w14:paraId="285D218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胸痛中心信息化建设服务平台</w:t>
            </w:r>
          </w:p>
        </w:tc>
        <w:tc>
          <w:tcPr>
            <w:tcW w:w="2250" w:type="dxa"/>
            <w:noWrap/>
          </w:tcPr>
          <w:p w14:paraId="716CA03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  <w:noWrap/>
          </w:tcPr>
          <w:p w14:paraId="27DBC4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031" w:type="dxa"/>
            <w:noWrap/>
          </w:tcPr>
          <w:p w14:paraId="7C6C8D5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须完成与采购人相关系统的接口对接及改造</w:t>
            </w:r>
          </w:p>
        </w:tc>
      </w:tr>
    </w:tbl>
    <w:p w14:paraId="563F940B">
      <w:pPr>
        <w:pStyle w:val="5"/>
        <w:numPr>
          <w:ilvl w:val="0"/>
          <w:numId w:val="0"/>
        </w:numPr>
        <w:spacing w:before="156" w:beforeLines="50" w:after="0" w:line="360" w:lineRule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技术要求</w:t>
      </w:r>
    </w:p>
    <w:p w14:paraId="601F5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1、投标人应具备较好的医疗信息化创新能力、开发能力和实施交付能力，并具备医疗信息化领域的质量管理、信息技术服务管理、信息安全管理等的全流程管理体系。</w:t>
      </w:r>
    </w:p>
    <w:p w14:paraId="2E992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2、投标人应充分理解本次项目的建设内容和目标需求，提出符合医院实际应用需求的具有针对性的整体解决方案，并能对项目过程中的重难点做出分析，提出相应的技术应对方案。</w:t>
      </w:r>
    </w:p>
    <w:p w14:paraId="6586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sz w:val="24"/>
          <w:szCs w:val="24"/>
        </w:rPr>
        <w:t>投标人所提供的产品须符合网络安全等级保护2.0标准相关要求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17AF0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本次项目应遵循《中华人民共和国数据安全法》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《中华人民共和国网络安全法》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《中国人民共和国个人信息保护法》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《电子病历应用管理规范》等标准规范文件要求进行建设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如以上法律法规、标准规范有发布新版本，依据最新版本执行。</w:t>
      </w:r>
    </w:p>
    <w:p w14:paraId="247A8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、本次项目涉及的系统产生或利用的数据涉及到大量患者隐私，投标人应做好相应的信息安全保障设计，应具备医疗卫生信息数据的安全应用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软件开发能力和医疗卫生数据加密处理能力。</w:t>
      </w:r>
    </w:p>
    <w:p w14:paraId="0C2CD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、投标人应具备高性能医疗卫生软件的开发能力，投标产品应充分考虑到医院大业务量环境下的运行效率。</w:t>
      </w:r>
    </w:p>
    <w:p w14:paraId="2EE8A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</w:rPr>
        <w:t>、为确保项目交付后系统的稳定可靠运行，投标人中标交付后需要提供专业的售后服务，投标人应具备较好的医院软件运维信息化管理能力和服务体系。</w:t>
      </w:r>
    </w:p>
    <w:p w14:paraId="073DD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</w:rPr>
        <w:t>、投标人在项目实施及服务过程中，应遵循知识产权管理体系做好文档管理工作，在项目验收时进行相关文档的移交，文档资料必须符合软件工程的相关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要求，并提供明确的交付清单。</w:t>
      </w:r>
    </w:p>
    <w:p w14:paraId="43D50A3A">
      <w:pPr>
        <w:pStyle w:val="5"/>
        <w:numPr>
          <w:ilvl w:val="1"/>
          <w:numId w:val="0"/>
        </w:numPr>
        <w:spacing w:before="156" w:beforeLines="50" w:after="156" w:afterLines="50"/>
        <w:ind w:left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5功能描述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此部分分条详细介绍前文建设清单中的所有模块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tbl>
      <w:tblPr>
        <w:tblStyle w:val="15"/>
        <w:tblW w:w="49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200"/>
        <w:gridCol w:w="1268"/>
        <w:gridCol w:w="5407"/>
      </w:tblGrid>
      <w:tr w14:paraId="143D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11CCEE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F7EDF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一级模块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876DF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二级模块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0A4D2F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功能描述</w:t>
            </w:r>
          </w:p>
        </w:tc>
      </w:tr>
      <w:tr w14:paraId="449F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2D8099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1" w:name="_GoBack" w:colFirst="0" w:colLast="3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0B6F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AI人工智能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046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语音录入填报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A95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支持AI语音识别录入，自动提取关键信息回填至系统字段。</w:t>
            </w:r>
          </w:p>
        </w:tc>
      </w:tr>
      <w:tr w14:paraId="1B8B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5C18C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544A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463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智能拍照识别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F8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支持AI拍照/相册上传识别心电图、门急诊/住院病历、护理记录及检验报告等医疗文书，关键数据自动结构化提取填写。</w:t>
            </w:r>
          </w:p>
        </w:tc>
      </w:tr>
      <w:tr w14:paraId="4B6C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85FA27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0665D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A99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远程心电辅助诊断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A2A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支持已开通“智慧胸痛远程心电管理云平台”的医院通过心电图拍照完成AI诊断，并与上级医院建立远程会诊通道。</w:t>
            </w:r>
          </w:p>
        </w:tc>
      </w:tr>
      <w:tr w14:paraId="5EDB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9A58C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9965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27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模拟专家认证评分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3AF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支持AI模拟认证专家预估医院认证/再认证评分，并提供改进意见。</w:t>
            </w:r>
          </w:p>
        </w:tc>
      </w:tr>
      <w:tr w14:paraId="5A64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62033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BE4C5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2B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认证帮扶问答咨询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9CB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内置最新规范化胸痛中心建设与认证标准及临床医学知识库，AI助手辅助解答填报、认证、质控、临床诊疗等相关问题。</w:t>
            </w:r>
          </w:p>
        </w:tc>
      </w:tr>
      <w:tr w14:paraId="1966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B2C93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E09A5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数据直报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5DD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智能填报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248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支持AI语音识别录入，自动提取关键信息回填至系统字段；</w:t>
            </w:r>
          </w:p>
          <w:p w14:paraId="6F22EA3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支持医疗文书AI拍照/相册上传识别，关键数据自动结构化提取填写。</w:t>
            </w:r>
          </w:p>
        </w:tc>
      </w:tr>
      <w:tr w14:paraId="4F8D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7B41B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7A568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057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25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 w14:paraId="2475712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支持快速扫描，能够从患者身份证、医保卡中快速读取患者基本资料；</w:t>
            </w:r>
          </w:p>
          <w:p w14:paraId="705AA97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支持发病地址的定位；</w:t>
            </w:r>
          </w:p>
          <w:p w14:paraId="28AA4A1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支持AI语音/拍照识别录入或修改患者信息；</w:t>
            </w:r>
          </w:p>
          <w:p w14:paraId="63E05A7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2D41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16798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26E3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BF7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院前急救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8BF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支持记录院前接诊：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1）发病时间。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2）呼救时间。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3）出车单位。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4）医护人员。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5）是否转送上级单位。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支持记录院前体征，包括：意识、呼吸、脉搏、心率、血压、体温等信息；</w:t>
            </w:r>
          </w:p>
          <w:p w14:paraId="4FC2B19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支持院前心电图的上传，支持登记远程心电图的传输时间和传输方式；</w:t>
            </w:r>
          </w:p>
          <w:p w14:paraId="0F6EBAD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支持记录是否远程会诊和双绕；</w:t>
            </w:r>
          </w:p>
          <w:p w14:paraId="6BD5CD4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支持记录院前初步诊断；</w:t>
            </w:r>
          </w:p>
          <w:p w14:paraId="71262B7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支持记录双抗治疗；</w:t>
            </w:r>
          </w:p>
          <w:p w14:paraId="1A8CE1B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支持记录院前溶栓治疗；</w:t>
            </w:r>
          </w:p>
          <w:p w14:paraId="4556903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支持记录到达医院大门时间；</w:t>
            </w:r>
          </w:p>
          <w:p w14:paraId="71F73C3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6E34E51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110F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2435D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3E8B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CBF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急诊分诊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D71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支持登记患者接诊信息，包括：门诊号、主诉、病情评估、评估明细、院内首诊医师接诊时间等信息；</w:t>
            </w:r>
          </w:p>
          <w:p w14:paraId="351276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支持记录院内生命体征，包括：意识、呼吸、脉搏、心率、血压、体温等信息；</w:t>
            </w:r>
          </w:p>
          <w:p w14:paraId="6CAECB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支持记录分诊结果和患者去向；</w:t>
            </w:r>
          </w:p>
          <w:p w14:paraId="138D540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364D6B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5650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F6D29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5AF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91E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检验检查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A62E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支持院内心电图的拍照上传，支持与院内心电系统对接互传，支持登记远程心电图的接收时间和传输方式，是否远程会诊和双绕由院前急救同步信息</w:t>
            </w:r>
          </w:p>
          <w:p w14:paraId="5ADC6F8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支持记录检查，包括：肌钙蛋白和实验室检查（拍照识别或对接）；</w:t>
            </w:r>
          </w:p>
          <w:p w14:paraId="656CEED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支持记录是否远程会诊和双绕；</w:t>
            </w:r>
          </w:p>
          <w:p w14:paraId="2EE00DA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支持记录院前初步诊断，对患者进行心功能分级；</w:t>
            </w:r>
          </w:p>
          <w:p w14:paraId="56825E9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28BC8B2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5E5E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D2C4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558AF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09E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院内诊疗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69CE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支持记录用药情况，包括：双抗给药、术前抗凝、他汀治疗、β受体阻滞剂等使用情况，双抗情况可由院前急救同步</w:t>
            </w:r>
          </w:p>
          <w:p w14:paraId="1188287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支持选择再灌注策略；</w:t>
            </w:r>
          </w:p>
          <w:p w14:paraId="0E3F2CF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5409316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 w14:paraId="207A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A95A8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4CD5C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73E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介入手术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EDCC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支持记录介入手术的情况，包括：导管室激活时间、穿刺时间、造影时间、TIMI血流等级、抗凝药物、D2W等信息；</w:t>
            </w:r>
          </w:p>
          <w:p w14:paraId="5EA4BB9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支持记录冠脉造影情况；</w:t>
            </w:r>
          </w:p>
          <w:p w14:paraId="3508B8E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支持记录手术器械使用情况；</w:t>
            </w:r>
          </w:p>
          <w:p w14:paraId="3C0945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252A9F7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7E00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E0822C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EAC39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BA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患者转归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6ED1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支持登记患者的出院诊断，包括：住院号、出院诊断、COVIN-19等信息；</w:t>
            </w:r>
          </w:p>
          <w:p w14:paraId="26F171C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支持记录患者住院期间的用药情况；</w:t>
            </w:r>
          </w:p>
          <w:p w14:paraId="04B7BC1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支持登记患者的出院信息，包括住院天数、总费用、出院或30天转归情况等信息，记录患者在本院治疗后的情况；</w:t>
            </w:r>
          </w:p>
          <w:p w14:paraId="391E542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63993F6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78DC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41A1E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51F8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3E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患者列表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1DC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提供患者列表包含基本信息、建档时间、来院方式、诊断等内容；</w:t>
            </w:r>
          </w:p>
          <w:p w14:paraId="75CC8F8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支持筛选查找；</w:t>
            </w:r>
          </w:p>
          <w:p w14:paraId="521F78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按照填报中、待审核、待存档、已归档分类；</w:t>
            </w:r>
          </w:p>
          <w:p w14:paraId="75A0520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支持病例的保存、提交、审核、归档、通过和驳回；</w:t>
            </w:r>
          </w:p>
          <w:p w14:paraId="7D275E5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支持AI语音/拍照识别录入填报，手工录入/修改患者信息；</w:t>
            </w:r>
          </w:p>
          <w:p w14:paraId="13087D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 w14:paraId="41CB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7D857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3A81D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A4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默认模板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E58DF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可设置默认模板：支持双抗、住院期间用药、抗凝药物、出院带药、检查检验、网络医院和医护列表默认模板，支持快速模板填报。</w:t>
            </w:r>
          </w:p>
        </w:tc>
      </w:tr>
      <w:tr w14:paraId="3E1F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2B95C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2E78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525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病例建档和删除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9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APP端新增建档病例，中国胸痛中心填报平台也会同步新增病例。</w:t>
            </w:r>
          </w:p>
          <w:p w14:paraId="3A14F64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APP端删除病例，中国胸痛中心填报平台也会同步删除病例。</w:t>
            </w:r>
          </w:p>
        </w:tc>
      </w:tr>
      <w:tr w14:paraId="60D3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97B160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1CD8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9F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分场景填报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0881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分场景填报，设置不同角色，如院前急救、急诊接诊、心内科、导管室，包括内容：患者基本信息、地址定位、院前急救-呼救120、院前急救-转院、急诊分诊、检验检查、院内诊疗、介入手术、患者转归、院前院内信息同步、心电图、肌钙蛋白、Grace评分自动分层、入路等信息。</w:t>
            </w:r>
          </w:p>
        </w:tc>
      </w:tr>
      <w:tr w14:paraId="34DD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FB65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4FFE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9F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时间采集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F8241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根据账户权限和角色，显示时间采集模块；</w:t>
            </w:r>
          </w:p>
          <w:p w14:paraId="1118B36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快速点选采集当前时间，可AI语音/拍照识别录入填报，可修改时间，修改后可同步至病例编辑模块和中国胸痛中心填报平台。</w:t>
            </w:r>
          </w:p>
        </w:tc>
      </w:tr>
      <w:tr w14:paraId="09BC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FD2C2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F91B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A5B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时间轴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B2668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呈现单病例全流程救治流程的时间轴，显示核心指标时间如S2FMC、FMC2ECG、D2W、FMC2W和D2N时间；</w:t>
            </w:r>
          </w:p>
          <w:p w14:paraId="2B72513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支持时间轴中时间差值计算，时间轴中更改时间值，同步至病例编辑模块、时间采集模块和中国胸痛中心填报平台。</w:t>
            </w:r>
          </w:p>
        </w:tc>
      </w:tr>
      <w:tr w14:paraId="5E2B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1FCEDD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C75B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691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单病例分析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1C52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显示各项认证指标的具体要求，如入选条件和质控要求，显示病例是否达标。</w:t>
            </w:r>
          </w:p>
          <w:p w14:paraId="4319FBF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（1）若该病例不符合入选条件，显示灰色和不满足的字段。 </w:t>
            </w:r>
          </w:p>
          <w:p w14:paraId="4EFF1CD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（2）若该病例字段填报缺失但符合入选条件，显示灰色并提醒漏填字段。</w:t>
            </w:r>
          </w:p>
          <w:p w14:paraId="1C964C2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（3）若该病例符合单项指标的算法，显示蓝色，时间型指标反应反应用时情况，趋势型指标反应趋势情况。</w:t>
            </w:r>
          </w:p>
          <w:p w14:paraId="5C4811F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4）若该病例符合单项指标入选条件，但不满足质控要求，显示红色，时间型指标分析指标算法中要求的字段填报内容如时间等，并且反应用时情况；趋势型指标分析指标算法中要求的字段填报内容如“是否”等。</w:t>
            </w:r>
          </w:p>
        </w:tc>
      </w:tr>
      <w:tr w14:paraId="49DD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5A33A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2BA1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ED6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低危胸痛患者管理</w:t>
            </w:r>
          </w:p>
        </w:tc>
        <w:tc>
          <w:tcPr>
            <w:tcW w:w="3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BCC7F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7B716C3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支持低危胸痛及胸痛待查患者建档留存，根据病情选择上报与否。</w:t>
            </w:r>
          </w:p>
        </w:tc>
      </w:tr>
      <w:tr w14:paraId="4DE4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9191A7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981F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救治单元管理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E39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B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 w14:paraId="3BE32D3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支持快速扫描，能够从患者身份证、医保卡中快速读取患者基本资料；</w:t>
            </w:r>
          </w:p>
          <w:p w14:paraId="51EFC63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支持发病地址的定位；</w:t>
            </w:r>
          </w:p>
          <w:p w14:paraId="5504B57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支持记录发病时间；</w:t>
            </w:r>
          </w:p>
          <w:p w14:paraId="3E6F2DE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 w14:paraId="528E897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支持与中国胸痛中心填报平台对接，支持接收下级救治单元的填报数据；</w:t>
            </w:r>
          </w:p>
          <w:p w14:paraId="18A4255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下级救治单元账号自动生成。</w:t>
            </w:r>
          </w:p>
        </w:tc>
      </w:tr>
      <w:tr w14:paraId="025F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3F2FC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193C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977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病情评估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9FC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支持对病情进行评估，并选择评估明细。</w:t>
            </w:r>
          </w:p>
        </w:tc>
      </w:tr>
      <w:tr w14:paraId="417C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76DEF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27F1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F8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诊断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AB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支持记录诊断结果和诊断时间。</w:t>
            </w:r>
          </w:p>
        </w:tc>
      </w:tr>
      <w:tr w14:paraId="4CDD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1CA5F2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A7388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16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来院方式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8B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支持记录来院方式、首次医疗接触时间和到达医院大门时间。</w:t>
            </w:r>
          </w:p>
        </w:tc>
      </w:tr>
      <w:tr w14:paraId="7F57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3A7D1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6A2E6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E12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基础生命体征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326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支持记录院前体征，包括：意识、呼吸、脉搏、心率、血压、体温等信息。</w:t>
            </w:r>
          </w:p>
        </w:tc>
      </w:tr>
      <w:tr w14:paraId="3AB1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77EB3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E438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9A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心电图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202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支持上传心电图。</w:t>
            </w:r>
          </w:p>
        </w:tc>
      </w:tr>
      <w:tr w14:paraId="0DAC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DFF50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1170C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E68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实验室</w:t>
            </w:r>
          </w:p>
          <w:p w14:paraId="7CE45C7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BE3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支持记录检查，包括：肌钙蛋白和实验室检查。</w:t>
            </w:r>
          </w:p>
        </w:tc>
      </w:tr>
      <w:tr w14:paraId="150E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2F528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29F9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E74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初始药物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B19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支持记录双抗/抗凝药物使用情况。</w:t>
            </w:r>
          </w:p>
        </w:tc>
      </w:tr>
      <w:tr w14:paraId="623E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4014F2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00D3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49C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治疗策略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C12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支持治疗策略的选择，包括：溶栓、转运和保守治疗。</w:t>
            </w:r>
          </w:p>
        </w:tc>
      </w:tr>
      <w:tr w14:paraId="3B30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3E35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A3A5A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84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院内溶栓治疗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CBB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支持记录院内溶栓时间和溶栓药物使用情况。</w:t>
            </w:r>
          </w:p>
        </w:tc>
      </w:tr>
      <w:tr w14:paraId="7F29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5808C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3D6B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2E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出院信息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D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支持记录出院诊断、出院转归和离开本院大门时间。</w:t>
            </w:r>
          </w:p>
        </w:tc>
      </w:tr>
      <w:tr w14:paraId="78EC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9BA4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662F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BD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患者列表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BBE41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提供患者列表包含基本信息、建档时间、来院方式、诊断等内容；</w:t>
            </w:r>
          </w:p>
          <w:p w14:paraId="757643E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支持筛选查找；</w:t>
            </w:r>
          </w:p>
          <w:p w14:paraId="0B51BF3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按照填报中、待审核、待存档、已归档分类；</w:t>
            </w:r>
          </w:p>
          <w:p w14:paraId="6A8B6C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支持病例的保存、提交、审核、归档；</w:t>
            </w:r>
          </w:p>
          <w:p w14:paraId="538409B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 w14:paraId="1897DEF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救治单元单位用户填报信息，可同步至胸痛中心单位账户</w:t>
            </w:r>
          </w:p>
        </w:tc>
      </w:tr>
      <w:tr w14:paraId="00E2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FC5D8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A2EF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随访管理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CBA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随访列表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057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提供患者列表，包含姓名、诊断、计划随访日期、随访有效期，随访进度等内容；</w:t>
            </w:r>
          </w:p>
          <w:p w14:paraId="493901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支持筛选查找；</w:t>
            </w:r>
          </w:p>
          <w:p w14:paraId="1A1EB58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按照未随访、已随访、已过期的分类；</w:t>
            </w:r>
          </w:p>
          <w:p w14:paraId="67380C8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支持随访提醒；</w:t>
            </w:r>
          </w:p>
          <w:p w14:paraId="664CF88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支持短信/电话/语音一键通知患者随访；</w:t>
            </w:r>
          </w:p>
          <w:p w14:paraId="6F1763A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撤销随访时，弹出对话框提示是否确定撤销随访，如果用户确认，则删除患者随访信息，恢复患者病例的出院或30天转归、出院时间字段的编辑功能；</w:t>
            </w:r>
          </w:p>
          <w:p w14:paraId="59DFE15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支持保存和新增随访。</w:t>
            </w:r>
          </w:p>
        </w:tc>
      </w:tr>
      <w:tr w14:paraId="02D7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B465E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61F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7E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随访详情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FDE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基本信息：</w:t>
            </w:r>
          </w:p>
          <w:p w14:paraId="5CA18BC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支持1月、3月、6月、12月分别记录随访信息，包括：是否随访、随访信息获取途径、实际评估日期、随访状态、目前情况、是否加入心脏康复计划、是否加入心脏关爱计划、出院后主要心血管不良事件等信息。</w:t>
            </w:r>
          </w:p>
        </w:tc>
      </w:tr>
      <w:tr w14:paraId="08E9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B4E81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E5FD8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11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9E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危险因素控制：包括：血压监测、血脂四项、脂蛋白a、空腹血糖、糖化血红蛋白、是否吸烟、是否饮酒等信息。</w:t>
            </w:r>
          </w:p>
        </w:tc>
      </w:tr>
      <w:tr w14:paraId="4233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1C8261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F409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F429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数据概览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A2EA9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支显示累计填报量：</w:t>
            </w:r>
          </w:p>
          <w:p w14:paraId="37277C5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支持时间过滤：3个月、近6个月、近一年或者自定义。</w:t>
            </w:r>
          </w:p>
        </w:tc>
      </w:tr>
      <w:tr w14:paraId="1822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8A577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FFCC4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AD280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AEA4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高危胸痛患者填报趋势：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ab/>
            </w:r>
          </w:p>
          <w:p w14:paraId="5A1BA2A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柱状图：显示STEMI、NSTEMI、UA、主动脉夹层和肺动脉栓塞的病例数量。</w:t>
            </w:r>
          </w:p>
          <w:p w14:paraId="3902902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折线图:显示每个月患者总量的变化趋势</w:t>
            </w:r>
          </w:p>
        </w:tc>
      </w:tr>
      <w:tr w14:paraId="5BC5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F30E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58BB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C9B6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D71D0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病因分析：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ab/>
            </w:r>
          </w:p>
          <w:p w14:paraId="119ED4C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饼状图：显示诊断中、STEMI、NSTEMI、UA、主动脉夹层、肺动脉栓塞、非ACS心源性胸痛、其它非心源性胸痛和其它的病例数。</w:t>
            </w:r>
          </w:p>
        </w:tc>
      </w:tr>
      <w:tr w14:paraId="07C0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F60FA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ABD60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30112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9232B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发病12h以内STEMI患者再灌注策略：</w:t>
            </w:r>
          </w:p>
          <w:p w14:paraId="7A6E833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柱状图;根据填报的患者再灌注策略，统计出选择急诊PCI、溶栓、转运PCI、补救PCI、其他这五个策略的STEMI患者数</w:t>
            </w:r>
          </w:p>
        </w:tc>
      </w:tr>
      <w:tr w14:paraId="1CA1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7BC20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535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4B8BB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CCCC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网络医院统计：</w:t>
            </w:r>
          </w:p>
          <w:p w14:paraId="4CD2836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统计网络医院的转诊患者数和STEMI患者的再灌注策略。</w:t>
            </w:r>
          </w:p>
        </w:tc>
      </w:tr>
      <w:tr w14:paraId="5C6D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3EBC0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22819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A6B5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19A98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数据填报管理执行情况：</w:t>
            </w:r>
          </w:p>
          <w:p w14:paraId="7289F4E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饼状图：统计完成填报、完成审核、完成归档和超期归档的病例比例。</w:t>
            </w:r>
          </w:p>
          <w:p w14:paraId="6EA1FA1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提醒即将锁定的病例和已经被锁定的病例</w:t>
            </w:r>
          </w:p>
        </w:tc>
      </w:tr>
      <w:tr w14:paraId="72EC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8520E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AE668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DF39E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022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胸痛患者随访统计：</w:t>
            </w:r>
          </w:p>
          <w:p w14:paraId="20A8EE0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折线图：显示1月随访、3月随访、6月随访和12月随访的比例。</w:t>
            </w:r>
          </w:p>
        </w:tc>
      </w:tr>
      <w:tr w14:paraId="5493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7EF213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D5E1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6DE6C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智能分析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079A3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整体意见：</w:t>
            </w:r>
          </w:p>
          <w:p w14:paraId="288B6F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根据不同时间段，分析不同时间段内医院胸痛中心数据填报及指标改善情况，对临床流程、数据管理、人员培训等方面给出总体意见。</w:t>
            </w:r>
          </w:p>
        </w:tc>
      </w:tr>
      <w:tr w14:paraId="715B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D0073B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C2A8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9F450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3FDE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Hlk113366127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指标概览：</w:t>
            </w:r>
          </w:p>
          <w:p w14:paraId="664F787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显示各项认证指标的具体情况达标的显示，分析不同时间段的指标详情，包括：是否达标、不达标的月份、入选条件、参考标准、病例总数、有效数据、无效数据等: </w:t>
            </w:r>
          </w:p>
          <w:p w14:paraId="11CDD51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(1)若该时间段不符合指标入选条件，显示灰色。 </w:t>
            </w:r>
          </w:p>
          <w:p w14:paraId="20737A2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(2)若该时间段符合指标的算法，显示绿色，并且反应该时间段内的填报情况。</w:t>
            </w:r>
          </w:p>
          <w:p w14:paraId="09217AD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(3)若该时间段符合指标入选条件，但不满足质控要求，显示红色，同时显示不达标的月份，并且反应该时间段内的填报情况。</w:t>
            </w:r>
          </w:p>
          <w:p w14:paraId="64715F3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支持筛选关键指标；</w:t>
            </w:r>
          </w:p>
          <w:bookmarkEnd w:id="0"/>
          <w:p w14:paraId="47DB78D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支持给予各单项指标的整改意见。</w:t>
            </w:r>
          </w:p>
        </w:tc>
      </w:tr>
      <w:tr w14:paraId="6E76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F03399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216B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86F9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1790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指标汇总分析：</w:t>
            </w:r>
          </w:p>
          <w:p w14:paraId="7D4D1B8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显示入选条件、时间范围、平均时间、病例总数、有效数据例数、达标数量、未达标数量、达标率、无效数据例数、填报异常例数；</w:t>
            </w:r>
          </w:p>
          <w:p w14:paraId="1225A19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显示纳入指标算法的病例数，包括达标病例数、未达标病例数和达标率；</w:t>
            </w:r>
          </w:p>
          <w:p w14:paraId="48B4396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显示填报异常的病例。</w:t>
            </w:r>
          </w:p>
          <w:p w14:paraId="450A01D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支持查看填报异常的患者列表，给出具体意见，并且可以跳转到具体病例进行查看和填报。</w:t>
            </w:r>
          </w:p>
          <w:p w14:paraId="1DF0834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显示该指标算法下的具体病例情况，如编号、姓名、所用时间等，同时显示指标算法中要求的字段填报内容如时间等；支持具体病例的定位跳转。</w:t>
            </w:r>
          </w:p>
        </w:tc>
      </w:tr>
      <w:tr w14:paraId="684A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05A1E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053D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43459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2826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标明细分析：</w:t>
            </w:r>
          </w:p>
          <w:p w14:paraId="2457504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统计该时间段内每个月份的平均时间、达标量/病例总数、达标率。</w:t>
            </w:r>
          </w:p>
          <w:p w14:paraId="44B0B4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显示该指标算法下的每月的填报情况，包括月份、平均时间、达标病例/有效病例和达标率；</w:t>
            </w:r>
          </w:p>
          <w:p w14:paraId="4A02B4E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点击月份，显示总病例、有效病例、达标病例、未达标病例和无效病例的数量；</w:t>
            </w:r>
          </w:p>
          <w:p w14:paraId="64E22F0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显示该指标算法下的具体病例情况，如编号、姓名和时间差值，同时分析指标算法中要求的字段填报内容；</w:t>
            </w:r>
          </w:p>
          <w:p w14:paraId="5433BD3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支持具体病例定位跳转。</w:t>
            </w:r>
          </w:p>
          <w:p w14:paraId="5FEFE43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统计该时间段内每个月份的平均时间、有效数据例数/病例总数、百分比。</w:t>
            </w:r>
          </w:p>
          <w:p w14:paraId="1112F30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显示该指标算法下的每月的填报情况，包括月份、有效病例/病例总数和达标率；点击月份，显示总病例、有效病例、达标病例、未达标病例和无效病例的数量；</w:t>
            </w:r>
          </w:p>
          <w:p w14:paraId="1F019C8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显示该指标算法下的具体病例情况，如编号、姓名等，同时指标算法中要求的字段填报内容；</w:t>
            </w:r>
          </w:p>
          <w:p w14:paraId="62F0D54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支持具体病例定位跳转。</w:t>
            </w:r>
          </w:p>
        </w:tc>
      </w:tr>
      <w:tr w14:paraId="7350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F2DBC7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30ED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B9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历史数据导出</w:t>
            </w:r>
          </w:p>
        </w:tc>
        <w:tc>
          <w:tcPr>
            <w:tcW w:w="5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29D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支持对历史项目信息进行导出维护，保证历史数据可以导出进行科研分析及报告书写。</w:t>
            </w:r>
          </w:p>
        </w:tc>
      </w:tr>
      <w:tr w14:paraId="4A68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55A01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5B8ED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9FB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质控指标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423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通过胸痛联盟认证后支持质控指标分析查看：</w:t>
            </w:r>
          </w:p>
          <w:p w14:paraId="026A354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指标考核病例需满足条件：</w:t>
            </w:r>
          </w:p>
          <w:p w14:paraId="14A862F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支持进行该指标的满足条件说明</w:t>
            </w:r>
          </w:p>
          <w:p w14:paraId="364907C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指标详情图：</w:t>
            </w:r>
          </w:p>
          <w:p w14:paraId="428447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在病例考核范围内，统计平均时间、最大差值、最小差值和统计病例总数</w:t>
            </w:r>
          </w:p>
          <w:p w14:paraId="48C914A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指标统计患者详细说明图：</w:t>
            </w:r>
          </w:p>
          <w:p w14:paraId="7993B43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提供患者具体情况，包括：编号、差值。同时显示指标算法中要求的字段填报内容如时间等。</w:t>
            </w:r>
          </w:p>
        </w:tc>
      </w:tr>
      <w:tr w14:paraId="05FC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7033B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6FFC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3E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认证/再认证自评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69D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支持AI模拟认证专家预估医院认证/再认证评分，并提供改进意见。</w:t>
            </w:r>
          </w:p>
        </w:tc>
      </w:tr>
      <w:tr w14:paraId="27F4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F899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FB5B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三会模板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E3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典型病例分析会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7EC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根据填报情况，大数据分析智能遴选典型病例，一键生成PPT，提供医院参考。</w:t>
            </w:r>
          </w:p>
        </w:tc>
      </w:tr>
      <w:tr w14:paraId="665F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CC7696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AA897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FC1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质量分析会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1B1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根据填报情况，筛选出不达标的病例，分析不达标的原因，并且给出具体建议，生成PPT，供医院进行会议讲解。</w:t>
            </w:r>
          </w:p>
        </w:tc>
      </w:tr>
      <w:tr w14:paraId="3D37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350A8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06C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48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联合例会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6B6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汇总院内外相关部门的病历数据及指标达标情况，生成联合例会PPT。</w:t>
            </w:r>
          </w:p>
        </w:tc>
      </w:tr>
      <w:tr w14:paraId="2F8B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C141D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E8BB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胸痛学院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264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下载学习专区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BB985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提供胸痛学术、最新指南、学科建设、精彩会议等学习资源。</w:t>
            </w:r>
          </w:p>
        </w:tc>
      </w:tr>
      <w:tr w14:paraId="1706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D68C9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3FCB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权限管理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150F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用户管理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5F450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支持机构管理员查看，其他子账户无法查看；</w:t>
            </w:r>
          </w:p>
          <w:p w14:paraId="58E885E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支持新增用户，新增账户同步至填报平台；</w:t>
            </w:r>
          </w:p>
          <w:p w14:paraId="6B65864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支持删除账户，同步删除填报平台账户；</w:t>
            </w:r>
          </w:p>
          <w:p w14:paraId="30DDDE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支持绑定角色；</w:t>
            </w:r>
          </w:p>
          <w:p w14:paraId="4ABB824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支持编辑用户资料；</w:t>
            </w:r>
          </w:p>
          <w:p w14:paraId="1680B36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支持同步用户资料至中国胸痛中心填报平台(姓名、手机号、邮箱)；</w:t>
            </w:r>
          </w:p>
          <w:p w14:paraId="21F5957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支持修改或重置密码，并和中国胸痛中心填报平台互通。</w:t>
            </w:r>
          </w:p>
        </w:tc>
      </w:tr>
      <w:tr w14:paraId="56A7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CBEB2B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8F058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843F2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角色管理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39F6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各场景填报员：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ab/>
            </w:r>
          </w:p>
          <w:p w14:paraId="35183F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7E58BE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默认开通各场景模块的数据填报、数据分析、救治单元管理、随访管理、智慧化三会模板和胸痛学院；</w:t>
            </w:r>
          </w:p>
          <w:p w14:paraId="30C4212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支持进行保存和提交。</w:t>
            </w:r>
          </w:p>
        </w:tc>
      </w:tr>
      <w:tr w14:paraId="3276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C644F98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FBFCE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E3051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024DFE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随访员：</w:t>
            </w:r>
          </w:p>
          <w:p w14:paraId="2976E4D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4F31076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默认开通随访管理和胸痛学院。</w:t>
            </w:r>
          </w:p>
        </w:tc>
      </w:tr>
      <w:tr w14:paraId="0885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D144C1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94F4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89369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7BDD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审核员：</w:t>
            </w:r>
          </w:p>
          <w:p w14:paraId="4B1B85B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79E509A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默认开通数据填报、数据分析、救治单元管理、随访管理、智慧化三会模板和胸痛学院；</w:t>
            </w:r>
          </w:p>
          <w:p w14:paraId="3A7D5757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支持进行审核和驳回。</w:t>
            </w:r>
          </w:p>
        </w:tc>
      </w:tr>
      <w:tr w14:paraId="4CC6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29F75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58169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BD480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661E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归档员：</w:t>
            </w:r>
          </w:p>
          <w:p w14:paraId="35B71BC9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4CB1B653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默认开通数据填报、数据分析、救治单元管理、随访管理、智慧化三会模板和胸痛学院；</w:t>
            </w:r>
          </w:p>
          <w:p w14:paraId="2B48A30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支持进行归档。</w:t>
            </w:r>
          </w:p>
        </w:tc>
      </w:tr>
      <w:tr w14:paraId="4C43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4A9A5A2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EA712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F66D5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D20F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机构管理员：</w:t>
            </w:r>
          </w:p>
          <w:p w14:paraId="72C6639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支持登录、修改密码；</w:t>
            </w:r>
          </w:p>
          <w:p w14:paraId="3FE6A89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默认开通数据填报、数据分析、救治单元管理、随访管理、智慧化三会模板和胸痛学院；</w:t>
            </w:r>
          </w:p>
          <w:p w14:paraId="0EDE6686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支持进行保存、提交、审核、驳回和归档；</w:t>
            </w:r>
          </w:p>
          <w:p w14:paraId="2D60F70A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可修改人员权限。</w:t>
            </w:r>
          </w:p>
        </w:tc>
      </w:tr>
      <w:tr w14:paraId="0B0C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F534F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C8180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高级版填报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EEA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智能填报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E75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支持AI语音识别录入，自动提取关键信息回填至系统字段；</w:t>
            </w:r>
          </w:p>
          <w:p w14:paraId="6DB78A9D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支持医疗文书AI拍照/相册上传识别，关键数据自动结构化提取填写。</w:t>
            </w:r>
          </w:p>
          <w:p w14:paraId="79879A1C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支持所有的字段和中国胸痛中心高级版填报平台一样；</w:t>
            </w:r>
          </w:p>
          <w:p w14:paraId="13D54FB1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支持与中国胸痛中心高级版填报平台同步。</w:t>
            </w:r>
          </w:p>
        </w:tc>
      </w:tr>
      <w:tr w14:paraId="60C8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4A6AD4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843AB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89EF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高级版填报</w:t>
            </w:r>
          </w:p>
        </w:tc>
        <w:tc>
          <w:tcPr>
            <w:tcW w:w="3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B255">
            <w:pPr>
              <w:pStyle w:val="5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设置与高级版填报一样的默认模板：支持人口基本信息、急救信息（急救信息、来院方式、病情、生命体征）、胸痛诊疗（初始药物、住院期间用药、检查检验、循环支持、再灌注措施等）、患者转归（住院期间用药、并发症、危险因素、出院信息、出院带药）默认模板，支持快速模板填报。</w:t>
            </w:r>
          </w:p>
        </w:tc>
      </w:tr>
      <w:bookmarkEnd w:id="1"/>
    </w:tbl>
    <w:p w14:paraId="7D5ACFA2">
      <w:pPr>
        <w:pStyle w:val="5"/>
        <w:numPr>
          <w:ilvl w:val="0"/>
          <w:numId w:val="0"/>
        </w:numPr>
        <w:spacing w:before="156" w:beforeLines="50" w:after="0"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6服务及其他要求</w:t>
      </w:r>
    </w:p>
    <w:p w14:paraId="1FDC7842">
      <w:pPr>
        <w:pStyle w:val="6"/>
        <w:numPr>
          <w:ilvl w:val="0"/>
          <w:numId w:val="0"/>
        </w:numPr>
        <w:spacing w:before="0" w:after="0"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6.1</w:t>
      </w:r>
      <w:r>
        <w:rPr>
          <w:rFonts w:hint="eastAsia" w:ascii="宋体" w:hAnsi="宋体" w:eastAsia="宋体"/>
          <w:sz w:val="28"/>
          <w:szCs w:val="28"/>
        </w:rPr>
        <w:t>项目实施</w:t>
      </w:r>
    </w:p>
    <w:p w14:paraId="67FE3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本项目工期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30</w:t>
      </w:r>
      <w:r>
        <w:rPr>
          <w:rFonts w:ascii="Times New Roman" w:hAnsi="Times New Roman" w:eastAsia="宋体" w:cs="Times New Roman"/>
          <w:sz w:val="24"/>
          <w:szCs w:val="24"/>
        </w:rPr>
        <w:t>个</w:t>
      </w:r>
      <w:r>
        <w:rPr>
          <w:rFonts w:hint="eastAsia" w:ascii="Times New Roman" w:hAnsi="Times New Roman" w:eastAsia="宋体" w:cs="Times New Roman"/>
          <w:sz w:val="24"/>
          <w:szCs w:val="24"/>
        </w:rPr>
        <w:t>日历天</w:t>
      </w:r>
      <w:r>
        <w:rPr>
          <w:rFonts w:ascii="Times New Roman" w:hAnsi="Times New Roman" w:eastAsia="宋体" w:cs="Times New Roman"/>
          <w:sz w:val="24"/>
          <w:szCs w:val="24"/>
        </w:rPr>
        <w:t>。投标人应切实做好项目进度管理规划，在确保项目质量和安全的原则下，控制项目进度，确保项目建设按期完成并投入正常运行。</w:t>
      </w:r>
    </w:p>
    <w:p w14:paraId="1FE7A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项目实施期间，投标人应根据项目建设内容和进度需要，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安排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具有一定资质能力水平的成员组成项目团队对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进行实施及服务。项目团队应配置合理且具有较为合理明确的分工，应至少包含项目负责人、技术负责人、软件设计开发人员等。</w:t>
      </w:r>
    </w:p>
    <w:p w14:paraId="5567B579">
      <w:pPr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6.2</w:t>
      </w:r>
      <w:r>
        <w:rPr>
          <w:rFonts w:hint="eastAsia" w:ascii="宋体" w:hAnsi="宋体" w:eastAsia="宋体"/>
          <w:b/>
          <w:bCs/>
          <w:sz w:val="28"/>
          <w:szCs w:val="28"/>
        </w:rPr>
        <w:t>项目培训</w:t>
      </w:r>
    </w:p>
    <w:p w14:paraId="6A14C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培训方式：线上会议演示教学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28C84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培训费用应已经包含在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投标金额</w:t>
      </w:r>
      <w:r>
        <w:rPr>
          <w:rFonts w:hint="eastAsia" w:ascii="Times New Roman" w:hAnsi="Times New Roman" w:eastAsia="宋体" w:cs="Times New Roman"/>
          <w:sz w:val="24"/>
          <w:szCs w:val="24"/>
        </w:rPr>
        <w:t>中，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szCs w:val="24"/>
        </w:rPr>
        <w:t>不再另行付费。</w:t>
      </w:r>
    </w:p>
    <w:p w14:paraId="1A08A0A7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6.3项目</w:t>
      </w:r>
      <w:r>
        <w:rPr>
          <w:rFonts w:hint="eastAsia" w:ascii="宋体" w:hAnsi="宋体" w:eastAsia="宋体"/>
          <w:b/>
          <w:bCs/>
          <w:sz w:val="28"/>
          <w:szCs w:val="28"/>
        </w:rPr>
        <w:t>验收</w:t>
      </w:r>
    </w:p>
    <w:p w14:paraId="2D2E62B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本项目采用整体验收的方式。</w:t>
      </w:r>
    </w:p>
    <w:p w14:paraId="228B254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功能交付达到约定，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系统完成安装调试工作后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，中标人向采购人书面提交验收申请及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相关文档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 w14:paraId="01F2FEC9">
      <w:pPr>
        <w:spacing w:line="360" w:lineRule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6.4</w:t>
      </w:r>
      <w:r>
        <w:rPr>
          <w:rFonts w:hint="eastAsia" w:ascii="宋体" w:hAnsi="宋体" w:eastAsia="宋体"/>
          <w:b/>
          <w:bCs/>
          <w:sz w:val="28"/>
          <w:szCs w:val="28"/>
        </w:rPr>
        <w:t>售后服务</w:t>
      </w:r>
    </w:p>
    <w:p w14:paraId="51F9F71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highlight w:val="none"/>
        </w:rPr>
        <w:t>本项目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highlight w:val="none"/>
          <w:lang w:val="en-US" w:eastAsia="zh-CN"/>
        </w:rPr>
        <w:t>提供贰年的质保服务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，质保服务费包含在本项目金额内，质保期从签订项目竣工报告之日起计算。质保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期内所发生的一切费用包括系统技术支持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系统维护或升级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接口对接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人员交通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差旅服务等费用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val="en-US" w:eastAsia="zh-CN"/>
        </w:rPr>
        <w:t>均包含在投标金额内，采购人不再另行付费。</w:t>
      </w:r>
    </w:p>
    <w:p w14:paraId="3716E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质保期内，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  <w:lang w:val="en-US" w:eastAsia="zh-CN"/>
        </w:rPr>
        <w:t>投标人必须提供7*24小时技术支持热线电话（固话，手机）。当发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</w:rPr>
        <w:t>生故障时，自报障时起算，1小时内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  <w:lang w:val="en-US" w:eastAsia="zh-CN"/>
        </w:rPr>
        <w:t>予以实质性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zCs w:val="24"/>
          <w:highlight w:val="none"/>
        </w:rPr>
        <w:t>响应，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  <w:t>一般故障应于2小时内解决，严重故障应于12小时内解决。如技术服务人员非现场不能排除故障，除双方另有约定外，必须保证24小时内到达现场进行故障排除。</w:t>
      </w:r>
    </w:p>
    <w:p w14:paraId="34361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服务期内，投标人提供：</w:t>
      </w:r>
    </w:p>
    <w:p w14:paraId="6412E60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系统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升级服务。</w:t>
      </w:r>
    </w:p>
    <w:p w14:paraId="46D5CD0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软件缺陷和漏洞修复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服务。</w:t>
      </w:r>
    </w:p>
    <w:p w14:paraId="6D20860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用户技术支持和故障排除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。</w:t>
      </w:r>
    </w:p>
    <w:p w14:paraId="6F1FBB3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数据迁移、备份和恢复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 w:eastAsia="zh-CN"/>
        </w:rPr>
        <w:t>服务（如采购人需要）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</w:rPr>
        <w:t>。</w:t>
      </w:r>
    </w:p>
    <w:p w14:paraId="26F9EC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highlight w:val="none"/>
          <w:lang w:val="en-US" w:eastAsia="zh-CN" w:bidi="ar"/>
        </w:rPr>
        <w:t>服务期内，投标人应及时解决因技术升级等原因给系统应用带来的问题，免费提供技术支持服务等，保证采购人系统因上述原因升级后能正常运行。服务期内所有因软件开发服务问题而导致系统停止运行的，服务期将按停运天数两倍（按24小时计算，不满24小时按24小时计算）相应延长。</w:t>
      </w:r>
    </w:p>
    <w:p w14:paraId="06D583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val="en-US" w:eastAsia="zh-CN"/>
        </w:rPr>
        <w:t>服务修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期内所发生的一切费用包括系统技术支持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</w:rPr>
        <w:t>系统维护或升级等全部费用</w:t>
      </w:r>
      <w:r>
        <w:rPr>
          <w:rFonts w:hint="eastAsia" w:ascii="Times New Roman" w:hAnsi="Times New Roman" w:eastAsia="宋体" w:cs="Times New Roman"/>
          <w:b w:val="0"/>
          <w:bCs w:val="0"/>
          <w:iCs w:val="0"/>
          <w:color w:val="000000"/>
          <w:sz w:val="24"/>
          <w:szCs w:val="24"/>
          <w:highlight w:val="none"/>
          <w:lang w:val="en-US" w:eastAsia="zh-CN"/>
        </w:rPr>
        <w:t>均由投标人承担，采购人不再另行付费。</w:t>
      </w:r>
    </w:p>
    <w:p w14:paraId="1A52D9A2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6.5</w:t>
      </w:r>
      <w:r>
        <w:rPr>
          <w:rFonts w:hint="eastAsia" w:ascii="宋体" w:hAnsi="宋体" w:eastAsia="宋体"/>
          <w:b/>
          <w:bCs/>
          <w:sz w:val="28"/>
          <w:szCs w:val="28"/>
        </w:rPr>
        <w:t>付款方式</w:t>
      </w:r>
    </w:p>
    <w:p w14:paraId="19841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本项目所有款项均以人民币支付，项目合同总价以中标价为准。付款方式如下：</w:t>
      </w:r>
    </w:p>
    <w:p w14:paraId="544FAE6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功能交付达到合同约定，系统完成安装调试工作后，中标人向采购人书面提交验收申请。经采购人验收合格后，凭中标人提供的正式有效的含税发票，采购人办理相关手续后，支付合同总额的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%；</w:t>
      </w:r>
    </w:p>
    <w:p w14:paraId="6972D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</w:p>
    <w:p w14:paraId="28B55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</w:rPr>
      </w:pPr>
    </w:p>
    <w:p w14:paraId="70A81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CCF64"/>
    <w:multiLevelType w:val="singleLevel"/>
    <w:tmpl w:val="B6ACCF64"/>
    <w:lvl w:ilvl="0" w:tentative="0">
      <w:start w:val="1"/>
      <w:numFmt w:val="decimal"/>
      <w:suff w:val="nothing"/>
      <w:lvlText w:val="（%1）"/>
      <w:lvlJc w:val="left"/>
      <w:pPr>
        <w:ind w:left="-120"/>
      </w:pPr>
    </w:lvl>
  </w:abstractNum>
  <w:abstractNum w:abstractNumId="1">
    <w:nsid w:val="EB7EEAFA"/>
    <w:multiLevelType w:val="singleLevel"/>
    <w:tmpl w:val="EB7EEAF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97436D3"/>
    <w:multiLevelType w:val="multilevel"/>
    <w:tmpl w:val="197436D3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ind w:left="0" w:firstLine="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7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5461"/>
    <w:rsid w:val="03A5079A"/>
    <w:rsid w:val="04E925BD"/>
    <w:rsid w:val="08687FE8"/>
    <w:rsid w:val="08731E12"/>
    <w:rsid w:val="08946BAA"/>
    <w:rsid w:val="0A8729A8"/>
    <w:rsid w:val="0C567A42"/>
    <w:rsid w:val="0F31382A"/>
    <w:rsid w:val="102D4B1A"/>
    <w:rsid w:val="14186D67"/>
    <w:rsid w:val="14BE790E"/>
    <w:rsid w:val="1593637A"/>
    <w:rsid w:val="16BA4105"/>
    <w:rsid w:val="1953261B"/>
    <w:rsid w:val="1A1B46D9"/>
    <w:rsid w:val="1A3B30B8"/>
    <w:rsid w:val="1A4C3F4C"/>
    <w:rsid w:val="1CC7757C"/>
    <w:rsid w:val="1D230C56"/>
    <w:rsid w:val="1DB95116"/>
    <w:rsid w:val="25C7239A"/>
    <w:rsid w:val="267C4F33"/>
    <w:rsid w:val="26977FBF"/>
    <w:rsid w:val="2716093B"/>
    <w:rsid w:val="286D7229"/>
    <w:rsid w:val="28FB5929"/>
    <w:rsid w:val="29AA157C"/>
    <w:rsid w:val="2A6D3510"/>
    <w:rsid w:val="2AA332AC"/>
    <w:rsid w:val="2B0674C1"/>
    <w:rsid w:val="2B9351F9"/>
    <w:rsid w:val="2ED81B64"/>
    <w:rsid w:val="2F095C25"/>
    <w:rsid w:val="2F854E58"/>
    <w:rsid w:val="2FEF6776"/>
    <w:rsid w:val="30C776F3"/>
    <w:rsid w:val="30D20571"/>
    <w:rsid w:val="312E7BA6"/>
    <w:rsid w:val="31B934DF"/>
    <w:rsid w:val="323137D6"/>
    <w:rsid w:val="338A70D4"/>
    <w:rsid w:val="34B91E04"/>
    <w:rsid w:val="35213875"/>
    <w:rsid w:val="370A33AF"/>
    <w:rsid w:val="3AA7481D"/>
    <w:rsid w:val="3ACB2902"/>
    <w:rsid w:val="3CAA4150"/>
    <w:rsid w:val="3CE84C78"/>
    <w:rsid w:val="4072585B"/>
    <w:rsid w:val="426C54DF"/>
    <w:rsid w:val="43236A0A"/>
    <w:rsid w:val="43884ABF"/>
    <w:rsid w:val="49EC6138"/>
    <w:rsid w:val="4B9B1444"/>
    <w:rsid w:val="4D3F08E5"/>
    <w:rsid w:val="4E1E04FA"/>
    <w:rsid w:val="4E2D2E33"/>
    <w:rsid w:val="501716A5"/>
    <w:rsid w:val="50F04AF4"/>
    <w:rsid w:val="51145BE4"/>
    <w:rsid w:val="51D169E6"/>
    <w:rsid w:val="537868FE"/>
    <w:rsid w:val="546A471F"/>
    <w:rsid w:val="55694F77"/>
    <w:rsid w:val="56440315"/>
    <w:rsid w:val="5A224335"/>
    <w:rsid w:val="5B3F5F54"/>
    <w:rsid w:val="5C2A09B2"/>
    <w:rsid w:val="5C562E00"/>
    <w:rsid w:val="5DE84681"/>
    <w:rsid w:val="5EF02B73"/>
    <w:rsid w:val="5F13398C"/>
    <w:rsid w:val="603E2C7E"/>
    <w:rsid w:val="60783253"/>
    <w:rsid w:val="60803296"/>
    <w:rsid w:val="613C1835"/>
    <w:rsid w:val="63B23767"/>
    <w:rsid w:val="649B1826"/>
    <w:rsid w:val="64CD3788"/>
    <w:rsid w:val="68320F80"/>
    <w:rsid w:val="69F37010"/>
    <w:rsid w:val="6A8C09DF"/>
    <w:rsid w:val="6DAF616D"/>
    <w:rsid w:val="6DDD04AA"/>
    <w:rsid w:val="6E646F0A"/>
    <w:rsid w:val="701B1F3F"/>
    <w:rsid w:val="719426FE"/>
    <w:rsid w:val="76CF4528"/>
    <w:rsid w:val="797F3E53"/>
    <w:rsid w:val="7B3158FE"/>
    <w:rsid w:val="7B9854E0"/>
    <w:rsid w:val="7DC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Body Text"/>
    <w:basedOn w:val="1"/>
    <w:next w:val="11"/>
    <w:qFormat/>
    <w:uiPriority w:val="99"/>
    <w:pPr>
      <w:spacing w:after="120"/>
    </w:pPr>
    <w:rPr>
      <w:rFonts w:ascii="Tahoma" w:hAnsi="Tahoma" w:eastAsia="等线" w:cs="Times New Roman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Body Text Indent 3"/>
    <w:basedOn w:val="1"/>
    <w:qFormat/>
    <w:uiPriority w:val="0"/>
    <w:pPr>
      <w:widowControl/>
      <w:spacing w:before="60" w:beforeLines="0" w:after="60" w:afterLines="0" w:line="280" w:lineRule="atLeast"/>
      <w:ind w:right="291" w:firstLine="400"/>
    </w:pPr>
    <w:rPr>
      <w:rFonts w:ascii="宋体"/>
      <w:kern w:val="0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楷体粗正文文字"/>
    <w:basedOn w:val="1"/>
    <w:next w:val="12"/>
    <w:autoRedefine/>
    <w:qFormat/>
    <w:uiPriority w:val="0"/>
    <w:pPr>
      <w:snapToGrid w:val="0"/>
      <w:spacing w:line="480" w:lineRule="exact"/>
      <w:ind w:firstLine="560" w:firstLineChars="0"/>
    </w:pPr>
    <w:rPr>
      <w:sz w:val="28"/>
      <w:szCs w:val="20"/>
    </w:rPr>
  </w:style>
  <w:style w:type="character" w:customStyle="1" w:styleId="19">
    <w:name w:val="font10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8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151"/>
    <w:basedOn w:val="17"/>
    <w:qFormat/>
    <w:uiPriority w:val="0"/>
    <w:rPr>
      <w:rFonts w:hint="eastAsia" w:ascii="微软雅黑" w:hAnsi="微软雅黑" w:eastAsia="微软雅黑" w:cs="微软雅黑"/>
      <w:color w:val="DE3C36"/>
      <w:sz w:val="20"/>
      <w:szCs w:val="20"/>
      <w:u w:val="none"/>
    </w:rPr>
  </w:style>
  <w:style w:type="character" w:customStyle="1" w:styleId="22">
    <w:name w:val="font161"/>
    <w:basedOn w:val="17"/>
    <w:qFormat/>
    <w:uiPriority w:val="0"/>
    <w:rPr>
      <w:rFonts w:hint="eastAsia" w:ascii="微软雅黑" w:hAnsi="微软雅黑" w:eastAsia="微软雅黑" w:cs="微软雅黑"/>
      <w:color w:val="E74025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7458</Words>
  <Characters>7639</Characters>
  <Lines>0</Lines>
  <Paragraphs>0</Paragraphs>
  <TotalTime>15</TotalTime>
  <ScaleCrop>false</ScaleCrop>
  <LinksUpToDate>false</LinksUpToDate>
  <CharactersWithSpaces>7676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2025-01-15T06:51:00Z</dcterms:created>
  <dc:creator>shhmu</dc:creator>
  <cp:lastModifiedBy></cp:lastModifiedBy>
  <dcterms:modified xsi:type="dcterms:W3CDTF">2025-11-17T01:59:34Z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eyJoZGlkIjoiZWEzMjBkYzQ0YmNjYTVmYzc4NDMzYjZjZGZiNjUyOTEiLCJ1c2VySWQiOiI2NjI1OTUwNjcifQ==</vt:lpwstr>
  </property>
  <property fmtid="{D5CDD505-2E9C-101B-9397-08002B2CF9AE}" pid="4" name="ICV">
    <vt:lpwstr>61A5D6388CA0415DB82100C31A9E64C4_13</vt:lpwstr>
  </property>
</Properties>
</file>